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939B3C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 检测通道≥6个，可实现≥5重PCR，可同时检测≥5个靶基因；</w:t>
      </w:r>
    </w:p>
    <w:p w14:paraId="01B74151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color w:val="FF0000"/>
          <w:sz w:val="24"/>
        </w:rPr>
        <w:t>2.</w:t>
      </w:r>
      <w:r>
        <w:rPr>
          <w:rFonts w:hint="eastAsia" w:ascii="宋体" w:hAnsi="宋体" w:cs="宋体"/>
          <w:sz w:val="24"/>
        </w:rPr>
        <w:t xml:space="preserve"> 专用FRET的检测通道，用于检测核酸蛋白相互作用；</w:t>
      </w:r>
    </w:p>
    <w:p w14:paraId="6E515ED8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 要求试剂完全开放，兼容多数厂家试剂；</w:t>
      </w:r>
    </w:p>
    <w:p w14:paraId="42B07AEF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4. 仪器终身无需对位校正；无需ROX等参比荧光染料校正</w:t>
      </w:r>
    </w:p>
    <w:p w14:paraId="0768F3FA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5. 要求适用于多种荧光方法，如Taqman水解探针，分子信标，SYBR Green，Evagreen染料等；</w:t>
      </w:r>
    </w:p>
    <w:p w14:paraId="6064666E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6. 要求耗材开放，可使用0.2 mL单管、8联管、96孔板等类型</w:t>
      </w:r>
    </w:p>
    <w:p w14:paraId="06BA750A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color w:val="FF0000"/>
          <w:sz w:val="24"/>
        </w:rPr>
        <w:t>7.</w:t>
      </w:r>
      <w:r>
        <w:rPr>
          <w:rFonts w:hint="eastAsia" w:ascii="宋体" w:hAnsi="宋体" w:cs="宋体"/>
          <w:sz w:val="24"/>
        </w:rPr>
        <w:t xml:space="preserve"> 顶部逐孔扫描检测，逐一激发和检测各反应孔的荧光信号。检测时光学模块紧贴样品管或多孔板顶部直接进行激发和检测，快速扫描时间≤3秒；（需提供厂家官网截图证明）</w:t>
      </w:r>
    </w:p>
    <w:p w14:paraId="3A28A366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8．要求设备自带触摸屏，并且屏幕角度可调，范围12—55度</w:t>
      </w:r>
    </w:p>
    <w:p w14:paraId="441164AF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9．系统软件可同时支持和控制≥4台仪器；</w:t>
      </w:r>
    </w:p>
    <w:p w14:paraId="6A50653D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10. 仪器要求有运输锁功能；</w:t>
      </w:r>
    </w:p>
    <w:p w14:paraId="2948C2EF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color w:val="FF0000"/>
          <w:sz w:val="24"/>
        </w:rPr>
        <w:t>11．</w:t>
      </w:r>
      <w:r>
        <w:rPr>
          <w:rFonts w:hint="eastAsia" w:ascii="宋体" w:hAnsi="宋体" w:cs="宋体"/>
          <w:sz w:val="24"/>
        </w:rPr>
        <w:t>反应体系：1-50 µL；</w:t>
      </w:r>
    </w:p>
    <w:p w14:paraId="676B0245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color w:val="FF0000"/>
          <w:sz w:val="24"/>
        </w:rPr>
        <w:t>12.</w:t>
      </w:r>
      <w:r>
        <w:rPr>
          <w:rFonts w:hint="eastAsia" w:ascii="宋体" w:hAnsi="宋体" w:cs="宋体"/>
          <w:sz w:val="24"/>
        </w:rPr>
        <w:t xml:space="preserve"> 激发光≥6个独立带滤光片的单色LED光源（非6通道共用1个光源）；</w:t>
      </w:r>
    </w:p>
    <w:p w14:paraId="0F42FACB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color w:val="FF0000"/>
          <w:sz w:val="24"/>
        </w:rPr>
        <w:t>13.</w:t>
      </w:r>
      <w:r>
        <w:rPr>
          <w:rFonts w:hint="eastAsia" w:ascii="宋体" w:hAnsi="宋体" w:cs="宋体"/>
          <w:sz w:val="24"/>
        </w:rPr>
        <w:t xml:space="preserve"> 检测器≥6个带有不同滤光片的光敏二极管（非CCD、CMOS及SCMOS等检测器）；（需提供厂家官网截图证明）</w:t>
      </w:r>
    </w:p>
    <w:p w14:paraId="179BFC8A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14. 最大升降温速度：≥5℃/秒；</w:t>
      </w:r>
    </w:p>
    <w:p w14:paraId="5633F5DA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15. 温控范围：4--95℃，要求反应结束后可以在4℃条件下保存；</w:t>
      </w:r>
    </w:p>
    <w:p w14:paraId="226B7D1F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16. 温度准确性：≤±0.2℃</w:t>
      </w:r>
    </w:p>
    <w:p w14:paraId="10ABC856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color w:val="FF0000"/>
          <w:sz w:val="24"/>
        </w:rPr>
        <w:t>17.</w:t>
      </w:r>
      <w:r>
        <w:rPr>
          <w:rFonts w:hint="eastAsia" w:ascii="宋体" w:hAnsi="宋体" w:cs="宋体"/>
          <w:sz w:val="24"/>
        </w:rPr>
        <w:t xml:space="preserve"> 温度均一性：≤±0.3℃（达到90℃后10s内）；</w:t>
      </w:r>
    </w:p>
    <w:p w14:paraId="293135F4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18. 动态温度梯度功能：同时运行不同的温度梯度数量≥8个；逻辑算法设置区间温度，同一列，A至H孔温度非线性变化；梯度温度孵育时间：相同； </w:t>
      </w:r>
    </w:p>
    <w:p w14:paraId="5FEF99A5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19. 梯度温控范围：30--99℃；梯度温差范围：1--24℃；</w:t>
      </w:r>
    </w:p>
    <w:p w14:paraId="05E63E24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20. 动态范围：≥10个数量级。</w:t>
      </w:r>
    </w:p>
    <w:p w14:paraId="6CEA8D78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21. 数据分析模式：标准曲线定量、熔解曲线、CT 或ΔΔCT 基因表达分析、多内参基因分析和扩增效率计算、多个数据文件的基因表达分析、等位基因分析、终点分析、具有等位基因、熔解曲线分析功能。</w:t>
      </w:r>
    </w:p>
    <w:p w14:paraId="7D421CBE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color w:val="FF0000"/>
          <w:sz w:val="24"/>
        </w:rPr>
        <w:t>22.</w:t>
      </w:r>
      <w:r>
        <w:rPr>
          <w:rFonts w:hint="eastAsia" w:ascii="宋体" w:hAnsi="宋体" w:cs="宋体"/>
          <w:sz w:val="24"/>
        </w:rPr>
        <w:t xml:space="preserve"> 要求软件具有统计学分析功能，可进行t检验、方差分析等统计学分析（需提供软件截图证明）；</w:t>
      </w:r>
    </w:p>
    <w:p w14:paraId="6C559171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color w:val="FF0000"/>
          <w:sz w:val="24"/>
        </w:rPr>
        <w:t>23.</w:t>
      </w:r>
      <w:r>
        <w:rPr>
          <w:rFonts w:hint="eastAsia" w:ascii="宋体" w:hAnsi="宋体" w:cs="宋体"/>
          <w:sz w:val="24"/>
        </w:rPr>
        <w:t xml:space="preserve"> 具有内参基因稳定性分析功能，可自动计算内参稳定系数（M值）进行判定，并自动筛选合适的参照基因，可实现多内参基因自动筛选；（需提供软件截图证明）。</w:t>
      </w:r>
    </w:p>
    <w:p w14:paraId="29B995F6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color w:val="FF0000"/>
          <w:sz w:val="24"/>
        </w:rPr>
        <w:t>24.</w:t>
      </w:r>
      <w:r>
        <w:rPr>
          <w:rFonts w:hint="eastAsia" w:ascii="宋体" w:hAnsi="宋体" w:cs="宋体"/>
          <w:sz w:val="24"/>
        </w:rPr>
        <w:t xml:space="preserve"> 自动合并分析≥20块96孔板的数据文件（需提供软件截图证明）； </w:t>
      </w:r>
    </w:p>
    <w:p w14:paraId="4FBAC639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25. 自动计算目标基因的校正表达量，并以图表直观显示结果；</w:t>
      </w:r>
    </w:p>
    <w:p w14:paraId="4B5359F7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26. 数据分析选项具有聚类图、散点图、火山图和热点图 ；对双探针的SNPS研究提供散点图在内的完整的SNPS位点分析报告；</w:t>
      </w:r>
    </w:p>
    <w:p w14:paraId="57AF29BA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27. 配有原厂数据分析软件，具有统计分析功能，从原始荧光值自动分析得到CQ值、相对表达量值，及基于T检验、方差分析的显著性水平P值</w:t>
      </w:r>
    </w:p>
    <w:p w14:paraId="75E0ABF8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28. 具有高分辨率熔解曲线（HRM）分析功能，可用于基因组水平的未知突变扫描、SNP分型、插入/删除及其它突变筛查、DNA甲基化水平检测等；</w:t>
      </w:r>
    </w:p>
    <w:p w14:paraId="47323C69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29. 自定义创建可直接用于出版发表的结果图片，软件可按照需求以柱形图、点状图、箱线图等形式显示数据。可对特定的数据修改颜色、字体、标题和图例说明，并用P值、文字和箭头标注图片；</w:t>
      </w:r>
    </w:p>
    <w:p w14:paraId="6D445099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30. 仪器可脱离台式计算机独立运行；</w:t>
      </w:r>
    </w:p>
    <w:p w14:paraId="3F285580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31. 配备电脑4套</w:t>
      </w:r>
      <w:bookmarkStart w:id="0" w:name="_GoBack"/>
      <w:bookmarkEnd w:id="0"/>
      <w:r>
        <w:rPr>
          <w:rFonts w:hint="eastAsia" w:ascii="宋体" w:hAnsi="宋体" w:cs="宋体"/>
          <w:sz w:val="24"/>
        </w:rPr>
        <w:t>，</w:t>
      </w: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不低于以下配置：处理器Intel Core i5-13400，内存8GB，固态硬盘256GB，机械硬盘1T，显示屏27英寸</w:t>
      </w:r>
      <w:r>
        <w:rPr>
          <w:rFonts w:hint="eastAsia" w:ascii="宋体" w:hAnsi="宋体" w:cs="宋体"/>
          <w:sz w:val="24"/>
        </w:rPr>
        <w:t>。</w:t>
      </w:r>
    </w:p>
    <w:p w14:paraId="5C3C1F75"/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20"/>
      </w:pPr>
      <w:r>
        <w:separator/>
      </w:r>
    </w:p>
  </w:endnote>
  <w:endnote w:type="continuationSeparator" w:id="1">
    <w:p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D86BA9"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3B5175"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B7AC4B">
    <w:pPr>
      <w:pStyle w:val="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  <w:ind w:firstLine="420"/>
      </w:pPr>
      <w:r>
        <w:separator/>
      </w:r>
    </w:p>
  </w:footnote>
  <w:footnote w:type="continuationSeparator" w:id="1">
    <w:p>
      <w:pPr>
        <w:spacing w:before="0" w:after="0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6D9B59">
    <w:pPr>
      <w:pStyle w:val="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5E1012">
    <w:pPr>
      <w:pStyle w:val="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4A6067"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969"/>
    <w:rsid w:val="000D1357"/>
    <w:rsid w:val="000E4377"/>
    <w:rsid w:val="00110F14"/>
    <w:rsid w:val="002505DA"/>
    <w:rsid w:val="002E2469"/>
    <w:rsid w:val="00413232"/>
    <w:rsid w:val="005D1019"/>
    <w:rsid w:val="005E6EF6"/>
    <w:rsid w:val="006748F5"/>
    <w:rsid w:val="008C349B"/>
    <w:rsid w:val="008F6969"/>
    <w:rsid w:val="00973F1B"/>
    <w:rsid w:val="00AE6854"/>
    <w:rsid w:val="00B21A9B"/>
    <w:rsid w:val="00B8542E"/>
    <w:rsid w:val="00CC1A1F"/>
    <w:rsid w:val="00CE328E"/>
    <w:rsid w:val="00CF37DE"/>
    <w:rsid w:val="00E719D9"/>
    <w:rsid w:val="00F5106B"/>
    <w:rsid w:val="00FA2DBD"/>
    <w:rsid w:val="0DEA635D"/>
    <w:rsid w:val="7B6D1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N w:val="0"/>
      <w:snapToGrid w:val="0"/>
      <w:spacing w:before="156" w:beforeLines="50"/>
      <w:ind w:firstLine="420" w:firstLineChars="200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link w:val="11"/>
    <w:qFormat/>
    <w:uiPriority w:val="9"/>
    <w:pPr>
      <w:keepNext/>
      <w:keepLines/>
      <w:outlineLvl w:val="0"/>
    </w:pPr>
    <w:rPr>
      <w:rFonts w:ascii="Times New Roman" w:hAnsi="Times New Roman" w:eastAsia="方正小标宋_GBK" w:cstheme="minorBidi"/>
      <w:b/>
      <w:bCs/>
      <w:kern w:val="44"/>
      <w:sz w:val="44"/>
      <w:szCs w:val="4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4"/>
    <w:semiHidden/>
    <w:unhideWhenUsed/>
    <w:qFormat/>
    <w:uiPriority w:val="99"/>
  </w:style>
  <w:style w:type="paragraph" w:styleId="4">
    <w:name w:val="Balloon Text"/>
    <w:basedOn w:val="1"/>
    <w:link w:val="16"/>
    <w:semiHidden/>
    <w:unhideWhenUsed/>
    <w:qFormat/>
    <w:uiPriority w:val="99"/>
    <w:pPr>
      <w:spacing w:before="0"/>
    </w:pPr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autoSpaceDN/>
      <w:spacing w:before="0" w:beforeLines="0"/>
      <w:ind w:firstLine="0" w:firstLineChars="0"/>
    </w:pPr>
    <w:rPr>
      <w:rFonts w:eastAsia="仿宋_GB2312" w:cstheme="minorBidi"/>
      <w:sz w:val="18"/>
      <w:szCs w:val="18"/>
    </w:rPr>
  </w:style>
  <w:style w:type="paragraph" w:styleId="6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autoSpaceDN/>
      <w:spacing w:before="0" w:beforeLines="0"/>
      <w:ind w:firstLine="0" w:firstLineChars="0"/>
      <w:jc w:val="center"/>
    </w:pPr>
    <w:rPr>
      <w:rFonts w:eastAsia="仿宋_GB2312" w:cstheme="minorBidi"/>
      <w:sz w:val="18"/>
      <w:szCs w:val="18"/>
    </w:rPr>
  </w:style>
  <w:style w:type="paragraph" w:styleId="7">
    <w:name w:val="annotation subject"/>
    <w:basedOn w:val="3"/>
    <w:next w:val="3"/>
    <w:link w:val="15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标题 1 字符"/>
    <w:basedOn w:val="9"/>
    <w:link w:val="2"/>
    <w:qFormat/>
    <w:uiPriority w:val="9"/>
    <w:rPr>
      <w:rFonts w:ascii="Times New Roman" w:hAnsi="Times New Roman" w:eastAsia="方正小标宋_GBK"/>
      <w:b/>
      <w:bCs/>
      <w:kern w:val="44"/>
      <w:sz w:val="44"/>
      <w:szCs w:val="44"/>
    </w:rPr>
  </w:style>
  <w:style w:type="character" w:customStyle="1" w:styleId="12">
    <w:name w:val="页眉 字符"/>
    <w:basedOn w:val="9"/>
    <w:link w:val="6"/>
    <w:qFormat/>
    <w:uiPriority w:val="99"/>
    <w:rPr>
      <w:rFonts w:ascii="Times New Roman" w:hAnsi="Times New Roman" w:eastAsia="仿宋_GB2312"/>
      <w:sz w:val="18"/>
      <w:szCs w:val="18"/>
    </w:rPr>
  </w:style>
  <w:style w:type="character" w:customStyle="1" w:styleId="13">
    <w:name w:val="页脚 字符"/>
    <w:basedOn w:val="9"/>
    <w:link w:val="5"/>
    <w:uiPriority w:val="99"/>
    <w:rPr>
      <w:rFonts w:ascii="Times New Roman" w:hAnsi="Times New Roman" w:eastAsia="仿宋_GB2312"/>
      <w:sz w:val="18"/>
      <w:szCs w:val="18"/>
    </w:rPr>
  </w:style>
  <w:style w:type="character" w:customStyle="1" w:styleId="14">
    <w:name w:val="批注文字 字符"/>
    <w:basedOn w:val="9"/>
    <w:link w:val="3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15">
    <w:name w:val="批注主题 字符"/>
    <w:basedOn w:val="14"/>
    <w:link w:val="7"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character" w:customStyle="1" w:styleId="16">
    <w:name w:val="批注框文本 字符"/>
    <w:basedOn w:val="9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1138</Words>
  <Characters>1297</Characters>
  <Lines>9</Lines>
  <Paragraphs>2</Paragraphs>
  <TotalTime>11</TotalTime>
  <ScaleCrop>false</ScaleCrop>
  <LinksUpToDate>false</LinksUpToDate>
  <CharactersWithSpaces>1335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2025-11-16T09:39:00Z</dcterms:created>
  <dc:creator>Feng</dc:creator>
  <cp:lastModifiedBy>张帅磊</cp:lastModifiedBy>
  <dcterms:modified xsi:type="dcterms:W3CDTF">2026-04-08T06:59:44Z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eyJoZGlkIjoiNGZlOTE3NmU2NzYzNTkyZTM0ZGY1NTZkYTk3ZTdkYmIiLCJ1c2VySWQiOiIxNzg0MDE3NjYyIn0=</vt:lpwstr>
  </property>
  <property fmtid="{D5CDD505-2E9C-101B-9397-08002B2CF9AE}" pid="3" name="KSOProductBuildVer">
    <vt:lpwstr>2052-12.1.0.23542</vt:lpwstr>
  </property>
  <property fmtid="{D5CDD505-2E9C-101B-9397-08002B2CF9AE}" pid="4" name="ICV">
    <vt:lpwstr>CB38B8B2FEF9427B872DDA3852010C72_12</vt:lpwstr>
  </property>
</Properties>
</file>