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8B80D">
      <w:pPr>
        <w:spacing w:line="400" w:lineRule="exact"/>
        <w:ind w:firstLine="420" w:firstLineChars="200"/>
        <w:rPr>
          <w:rFonts w:ascii="Times New Roman" w:hAnsi="Times New Roman" w:eastAsia="华文仿宋" w:cs="仿宋"/>
          <w:b/>
          <w:bCs/>
        </w:rPr>
      </w:pPr>
    </w:p>
    <w:p w14:paraId="04A96F33">
      <w:pPr>
        <w:pStyle w:val="6"/>
        <w:widowControl/>
        <w:spacing w:before="0" w:beforeAutospacing="0" w:after="0" w:afterAutospacing="0"/>
        <w:jc w:val="center"/>
        <w:rPr>
          <w:rFonts w:hint="eastAsia"/>
          <w:b/>
          <w:bCs/>
        </w:rPr>
      </w:pPr>
      <w:r>
        <w:rPr>
          <w:rFonts w:hint="eastAsia"/>
          <w:b/>
          <w:bCs/>
        </w:rPr>
        <w:t>显微操作膜电位记录分析系统</w:t>
      </w:r>
      <w:r>
        <w:rPr>
          <w:b/>
          <w:bCs/>
        </w:rPr>
        <w:t>参数</w:t>
      </w:r>
    </w:p>
    <w:p w14:paraId="455D4811">
      <w:pPr>
        <w:widowControl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bidi="ar"/>
        </w:rPr>
      </w:pPr>
    </w:p>
    <w:p w14:paraId="16219DA2">
      <w:pPr>
        <w:widowControl/>
        <w:jc w:val="left"/>
        <w:rPr>
          <w:rFonts w:hint="eastAsia" w:ascii="宋体" w:hAnsi="宋体" w:eastAsia="宋体" w:cs="宋体"/>
          <w:b/>
          <w:bCs/>
          <w:color w:val="000000"/>
          <w:kern w:val="0"/>
          <w:szCs w:val="21"/>
          <w:lang w:bidi="ar"/>
        </w:rPr>
      </w:pPr>
    </w:p>
    <w:p w14:paraId="2F715191">
      <w:pPr>
        <w:widowControl/>
        <w:numPr>
          <w:ilvl w:val="0"/>
          <w:numId w:val="1"/>
        </w:numPr>
        <w:jc w:val="left"/>
        <w:rPr>
          <w:rFonts w:hint="eastAsia" w:ascii="宋体" w:hAnsi="宋体" w:eastAsia="宋体" w:cs="宋体"/>
          <w:b/>
          <w:bCs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Cs w:val="21"/>
          <w:lang w:bidi="ar"/>
        </w:rPr>
        <w:t>放大器</w:t>
      </w:r>
      <w:r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  <w:t xml:space="preserve"> </w:t>
      </w:r>
    </w:p>
    <w:p w14:paraId="6B334F90">
      <w:pPr>
        <w:widowControl/>
        <w:jc w:val="left"/>
        <w:rPr>
          <w:rFonts w:hint="eastAsia" w:ascii="宋体" w:hAnsi="宋体" w:eastAsia="宋体" w:cs="宋体"/>
          <w:b/>
          <w:bCs/>
          <w:color w:val="000000"/>
          <w:kern w:val="0"/>
          <w:szCs w:val="21"/>
          <w:lang w:bidi="ar"/>
        </w:rPr>
      </w:pPr>
    </w:p>
    <w:p w14:paraId="043D6B85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1 具有两个相同且独立的探头，相当于两台放大器，其探头内有两个电路设置，一个用于电压钳记录模式，一个用于电流钳记录模式。电压钳模式下提供 4 种反馈电阻（50MΩ、500MΩ、5GΩ、50GΩ）。电流钳模式下提供 3 种反馈电阻（50MΩ、500MΩ、5GΩ）。 </w:t>
      </w:r>
    </w:p>
    <w:p w14:paraId="170EB3A8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2 放大器用于细胞内和细胞外记录、（全细胞、巨膜片、游离膜片）、电流测定法/伏安法、离子选择电极的测量、人工脂双层记录。 </w:t>
      </w:r>
    </w:p>
    <w:p w14:paraId="5D0B6BCF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3 具有电压钳与电流钳模式，能够测量通道电流、静息膜电位、动作电位、电极电阻、串联电阻、封接电阻、膜电阻和膜电容等。具有在串联电阻补偿、电极电容中和时防止电极震颤的功能。 </w:t>
      </w:r>
    </w:p>
    <w:p w14:paraId="27452214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4 全细胞膜电容补偿范围 </w:t>
      </w:r>
    </w:p>
    <w:p w14:paraId="4370D42B">
      <w:pPr>
        <w:widowControl/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4.1 Rf=500M 时，Cm 1-100pF/Rs 400k–1000M </w:t>
      </w:r>
    </w:p>
    <w:p w14:paraId="1CFBA6B9">
      <w:pPr>
        <w:widowControl/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4.2 Rf=50M 时，Cm 2.5 -1000pF/Rs 100K–100M </w:t>
      </w:r>
    </w:p>
    <w:p w14:paraId="34F610F6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5 串联电阻补偿范围 </w:t>
      </w:r>
    </w:p>
    <w:p w14:paraId="1D6A1AB7">
      <w:pPr>
        <w:widowControl/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5.1 带宽：0.32-16kHz </w:t>
      </w:r>
    </w:p>
    <w:p w14:paraId="6323563C">
      <w:pPr>
        <w:widowControl/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5.2 校正值：0.4-1000M（500M时），0.1-100M（50M时） </w:t>
      </w:r>
    </w:p>
    <w:p w14:paraId="59A782B6">
      <w:pPr>
        <w:widowControl/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5.3 输出增益范围：主输出：1,2,5,10,20,50,100,200, 500, 1000, 2000 </w:t>
      </w:r>
    </w:p>
    <w:p w14:paraId="48821DE2">
      <w:pPr>
        <w:widowControl/>
        <w:ind w:firstLine="420" w:firstLineChars="2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5.4 第二输出：1,2,5,10,20,50,100 </w:t>
      </w:r>
    </w:p>
    <w:p w14:paraId="230A7197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cs="宋体"/>
          <w:color w:val="000000"/>
          <w:kern w:val="0"/>
          <w:szCs w:val="21"/>
          <w:lang w:bidi="ar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6 放大器为独立仪器，并非和数模转换器集成的一体机。 </w:t>
      </w:r>
      <w:r>
        <w:rPr>
          <w:rFonts w:hint="eastAsia" w:ascii="宋体" w:hAnsi="宋体" w:cs="宋体"/>
          <w:color w:val="000000"/>
          <w:kern w:val="0"/>
          <w:szCs w:val="21"/>
          <w:lang w:bidi="ar"/>
        </w:rPr>
        <w:t>含参比电极2个。</w:t>
      </w:r>
    </w:p>
    <w:p w14:paraId="27FC7C3E">
      <w:pPr>
        <w:widowControl/>
        <w:jc w:val="left"/>
        <w:rPr>
          <w:rFonts w:hint="eastAsia" w:ascii="宋体" w:hAnsi="宋体" w:eastAsia="宋体" w:cs="宋体"/>
          <w:b/>
          <w:bCs/>
          <w:color w:val="000000"/>
          <w:kern w:val="0"/>
          <w:szCs w:val="21"/>
          <w:lang w:bidi="ar"/>
        </w:rPr>
      </w:pPr>
    </w:p>
    <w:p w14:paraId="05AFBB06">
      <w:pPr>
        <w:widowControl/>
        <w:numPr>
          <w:ilvl w:val="0"/>
          <w:numId w:val="1"/>
        </w:numPr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Cs w:val="21"/>
          <w:lang w:bidi="ar"/>
        </w:rPr>
        <w:t>数模转换器</w:t>
      </w:r>
      <w:r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  <w:t xml:space="preserve"> </w:t>
      </w:r>
    </w:p>
    <w:p w14:paraId="40ACD88F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</w:p>
    <w:p w14:paraId="4E176E30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val="en-US" w:eastAsia="zh-CN" w:bidi="ar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1 独立的模拟输入通道≥8个，可采集≥</w:t>
      </w:r>
      <w:r>
        <w:rPr>
          <w:rFonts w:hint="eastAsia" w:ascii="宋体" w:hAnsi="宋体" w:cs="宋体"/>
          <w:color w:val="000000"/>
          <w:kern w:val="0"/>
          <w:szCs w:val="21"/>
          <w:lang w:bidi="ar"/>
        </w:rPr>
        <w:t>50</w:t>
      </w: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0 kHz 的信号。 </w:t>
      </w:r>
    </w:p>
    <w:p w14:paraId="297B1773">
      <w:pPr>
        <w:widowControl/>
        <w:ind w:firstLine="210" w:firstLineChars="1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2 独立的模拟输出通道≥8个，发送电压输出。 </w:t>
      </w:r>
    </w:p>
    <w:p w14:paraId="787CE7B6">
      <w:pPr>
        <w:widowControl/>
        <w:ind w:firstLine="210" w:firstLineChars="1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3 数字输出通道≥8个，可控制外部设备。 </w:t>
      </w:r>
    </w:p>
    <w:p w14:paraId="2F5DD77A">
      <w:pPr>
        <w:widowControl/>
        <w:ind w:firstLine="210" w:firstLineChars="1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4 独立的数模转换器确保每个输入通道低噪声水平和高数据采集率。 </w:t>
      </w:r>
    </w:p>
    <w:p w14:paraId="4C1150ED">
      <w:pPr>
        <w:widowControl/>
        <w:ind w:firstLine="210" w:firstLineChars="100"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5 ≥16位分辨率保证高效信噪比。 </w:t>
      </w:r>
    </w:p>
    <w:p w14:paraId="38DBF4EB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val="en-US" w:eastAsia="zh-CN" w:bidi="ar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6 数模转换器为独立设备，并非和放大器集成的一体机。</w:t>
      </w:r>
    </w:p>
    <w:p w14:paraId="3C486313">
      <w:pPr>
        <w:widowControl/>
        <w:jc w:val="left"/>
        <w:rPr>
          <w:rFonts w:hint="eastAsia" w:ascii="宋体" w:hAnsi="宋体" w:eastAsia="宋体" w:cs="宋体"/>
          <w:b/>
          <w:bCs/>
          <w:color w:val="000000"/>
          <w:kern w:val="0"/>
          <w:szCs w:val="21"/>
          <w:lang w:bidi="ar"/>
        </w:rPr>
      </w:pPr>
    </w:p>
    <w:p w14:paraId="71FB8971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Cs w:val="21"/>
          <w:lang w:bidi="ar"/>
        </w:rPr>
        <w:t>3.数据采集和分析软件</w:t>
      </w:r>
      <w:r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  <w:t xml:space="preserve"> </w:t>
      </w:r>
    </w:p>
    <w:p w14:paraId="37D42A29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</w:p>
    <w:p w14:paraId="69C0C070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1 既包含采样程序又包含分析程序，集采样、分析功能于一体。采样程序可采集细胞内外电位、 自发放电活动、诱发电位、膜电位、动作电位、各种通道电流（全细胞、单通道）等。分析程序可对采集的各种信号进行数据处理、分析、作图、统计检验等。 </w:t>
      </w:r>
    </w:p>
    <w:p w14:paraId="5F882D13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2 一个扫描线中的每个时段≥8个数码输出。 </w:t>
      </w:r>
    </w:p>
    <w:p w14:paraId="303E438A">
      <w:pPr>
        <w:widowControl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 具有批处理数据分析宏功能 Batch Analysis，允许实验者用宏来批量分析采集的数据。</w:t>
      </w:r>
    </w:p>
    <w:p w14:paraId="3DDAFDDC">
      <w:pPr>
        <w:widowControl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 xml:space="preserve">4 </w:t>
      </w:r>
      <w:r>
        <w:rPr>
          <w:rFonts w:ascii="宋体" w:hAnsi="宋体" w:cs="宋体"/>
        </w:rPr>
        <w:t>具有群峰电位Population</w:t>
      </w:r>
      <w:r>
        <w:rPr>
          <w:rFonts w:hint="eastAsia" w:ascii="宋体" w:hAnsi="宋体" w:cs="宋体"/>
        </w:rPr>
        <w:t xml:space="preserve"> </w:t>
      </w:r>
      <w:r>
        <w:rPr>
          <w:rFonts w:ascii="宋体" w:hAnsi="宋体" w:cs="宋体"/>
        </w:rPr>
        <w:t>Spike分析功能，自动计算幅度、面积、时间、斜率以及成对脉冲等。</w:t>
      </w:r>
    </w:p>
    <w:p w14:paraId="14A2E5AB">
      <w:pPr>
        <w:widowControl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5 具有动作电位分析功能，自动分析数据幅度、时间、斜率等，还可以分析动作电位脉冲串。</w:t>
      </w:r>
    </w:p>
    <w:p w14:paraId="73DFE87D">
      <w:pPr>
        <w:widowControl/>
        <w:jc w:val="lef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6 具有增强版自动事件检测功能，可以根据用户定义的参数识别事件。</w:t>
      </w:r>
    </w:p>
    <w:p w14:paraId="5C2D96E8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cs="宋体"/>
          <w:color w:val="000000"/>
          <w:kern w:val="0"/>
          <w:szCs w:val="21"/>
          <w:lang w:bidi="ar"/>
        </w:rPr>
        <w:t>7</w:t>
      </w: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 分析程序可对数据脱机处理，不需要使用</w:t>
      </w:r>
      <w:r>
        <w:rPr>
          <w:rFonts w:hint="eastAsia" w:ascii="宋体" w:hAnsi="宋体" w:cs="宋体"/>
          <w:color w:val="000000"/>
          <w:kern w:val="0"/>
          <w:szCs w:val="21"/>
          <w:lang w:bidi="ar"/>
        </w:rPr>
        <w:t>任何</w:t>
      </w: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密码</w:t>
      </w:r>
      <w:r>
        <w:rPr>
          <w:rFonts w:hint="eastAsia" w:ascii="宋体" w:hAnsi="宋体" w:cs="宋体"/>
          <w:color w:val="000000"/>
          <w:kern w:val="0"/>
          <w:szCs w:val="21"/>
          <w:lang w:bidi="ar"/>
        </w:rPr>
        <w:t>锁（包含数字或字母的密钥或者U盘型密码锁或者任何其他密码形式）</w:t>
      </w: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，可装在任何计算机上使用。 </w:t>
      </w:r>
    </w:p>
    <w:p w14:paraId="1A155FB2">
      <w:pPr>
        <w:widowControl/>
        <w:jc w:val="left"/>
        <w:rPr>
          <w:rFonts w:hint="eastAsia" w:ascii="宋体" w:hAnsi="宋体" w:eastAsia="宋体" w:cs="宋体"/>
        </w:rPr>
      </w:pPr>
      <w:bookmarkStart w:id="0" w:name="_GoBack"/>
      <w:bookmarkEnd w:id="0"/>
      <w:r>
        <w:rPr>
          <w:rFonts w:hint="eastAsia" w:ascii="宋体" w:hAnsi="宋体" w:cs="宋体"/>
          <w:color w:val="000000"/>
          <w:kern w:val="0"/>
          <w:szCs w:val="21"/>
          <w:lang w:bidi="ar"/>
        </w:rPr>
        <w:t>8</w:t>
      </w: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 可记录几乎所有的电生理信号，主要的有：①动作电位；②肌电图（EMG）；③眼动电图（EOG）； ④兴奋性突触后电流（EPSCs）；⑤兴奋性突触后电位（EPSPs）；⑥抑制性突触后电流（IPSCs）； ⑦抑制性突触后电位（IPSPs）；⑧微小兴奋性电位（Minis）；⑨长时程增强（LTP）；⑩长时程抑制（LTD）；（11） 荧光染色比率；（12）峰电位串；（13）突触网络信号。 </w:t>
      </w:r>
    </w:p>
    <w:p w14:paraId="0018CB7C">
      <w:pPr>
        <w:widowControl/>
        <w:jc w:val="left"/>
        <w:rPr>
          <w:rFonts w:hint="eastAsia" w:ascii="宋体" w:hAnsi="宋体" w:eastAsia="宋体" w:cs="宋体"/>
          <w:b/>
          <w:bCs/>
          <w:color w:val="000000"/>
          <w:kern w:val="0"/>
          <w:szCs w:val="21"/>
          <w:lang w:bidi="ar"/>
        </w:rPr>
      </w:pPr>
    </w:p>
    <w:p w14:paraId="0F28DC76">
      <w:pPr>
        <w:widowControl/>
        <w:jc w:val="left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cs="宋体"/>
          <w:b/>
          <w:bCs/>
          <w:kern w:val="0"/>
          <w:szCs w:val="21"/>
          <w:lang w:bidi="ar"/>
        </w:rPr>
        <w:t>4</w:t>
      </w:r>
      <w:r>
        <w:rPr>
          <w:rFonts w:hint="eastAsia" w:ascii="宋体" w:hAnsi="宋体" w:eastAsia="宋体" w:cs="宋体"/>
          <w:b/>
          <w:bCs/>
          <w:kern w:val="0"/>
          <w:szCs w:val="21"/>
          <w:lang w:bidi="ar"/>
        </w:rPr>
        <w:t xml:space="preserve">.电动微操作仪 </w:t>
      </w:r>
    </w:p>
    <w:p w14:paraId="0FD5FDA9">
      <w:pPr>
        <w:widowControl/>
        <w:spacing w:line="12" w:lineRule="atLeast"/>
        <w:rPr>
          <w:rFonts w:hint="eastAsia"/>
        </w:rPr>
      </w:pPr>
    </w:p>
    <w:p w14:paraId="7F1CF471">
      <w:pPr>
        <w:widowControl/>
        <w:jc w:val="left"/>
        <w:rPr>
          <w:rFonts w:hint="eastAsia"/>
        </w:rPr>
      </w:pPr>
      <w:r>
        <w:rPr>
          <w:rFonts w:hint="eastAsia"/>
        </w:rPr>
        <w:t>1静止漂移: ≤10nm/h</w:t>
      </w:r>
    </w:p>
    <w:p w14:paraId="189A0628">
      <w:pPr>
        <w:widowControl/>
        <w:jc w:val="left"/>
        <w:rPr>
          <w:rFonts w:hint="eastAsia"/>
        </w:rPr>
      </w:pPr>
      <w:r>
        <w:rPr>
          <w:rFonts w:hint="eastAsia"/>
        </w:rPr>
        <w:t>2分辨率：≤62.5nm</w:t>
      </w:r>
    </w:p>
    <w:p w14:paraId="254F4B9A">
      <w:pPr>
        <w:widowControl/>
        <w:jc w:val="left"/>
        <w:rPr>
          <w:rFonts w:hint="eastAsia"/>
        </w:rPr>
      </w:pPr>
      <w:r>
        <w:rPr>
          <w:rFonts w:hint="eastAsia"/>
        </w:rPr>
        <w:t>3移动行程：25mm</w:t>
      </w:r>
    </w:p>
    <w:p w14:paraId="18BF4BFF">
      <w:pPr>
        <w:widowControl/>
        <w:jc w:val="left"/>
        <w:rPr>
          <w:rFonts w:hint="eastAsia"/>
        </w:rPr>
      </w:pPr>
      <w:r>
        <w:rPr>
          <w:rFonts w:hint="eastAsia"/>
        </w:rPr>
        <w:t>4最大移动速度：2.9mm/s</w:t>
      </w:r>
    </w:p>
    <w:p w14:paraId="06B35DA7">
      <w:pPr>
        <w:widowControl/>
        <w:jc w:val="left"/>
        <w:rPr>
          <w:rFonts w:hint="eastAsia" w:ascii="宋体" w:hAnsi="宋体" w:eastAsia="宋体" w:cs="宋体"/>
          <w:b/>
          <w:bCs/>
          <w:color w:val="000000"/>
          <w:kern w:val="0"/>
          <w:szCs w:val="21"/>
          <w:lang w:bidi="ar"/>
        </w:rPr>
      </w:pPr>
    </w:p>
    <w:p w14:paraId="2E6F56DB">
      <w:pPr>
        <w:widowControl/>
        <w:tabs>
          <w:tab w:val="left" w:pos="312"/>
        </w:tabs>
        <w:jc w:val="left"/>
        <w:rPr>
          <w:rFonts w:hint="eastAsia" w:ascii="宋体" w:hAnsi="宋体" w:eastAsia="宋体" w:cs="宋体"/>
          <w:color w:val="0000FF"/>
          <w:kern w:val="0"/>
          <w:szCs w:val="21"/>
          <w:lang w:bidi="ar"/>
        </w:rPr>
      </w:pPr>
      <w:r>
        <w:rPr>
          <w:rFonts w:hint="eastAsia" w:ascii="宋体" w:hAnsi="宋体" w:eastAsia="宋体" w:cs="宋体"/>
          <w:b/>
          <w:bCs/>
          <w:kern w:val="0"/>
          <w:szCs w:val="21"/>
          <w:lang w:bidi="ar"/>
        </w:rPr>
        <w:t>5.研究级</w:t>
      </w:r>
      <w:r>
        <w:rPr>
          <w:rFonts w:hint="eastAsia" w:ascii="宋体" w:hAnsi="宋体" w:cs="宋体"/>
          <w:b/>
          <w:bCs/>
          <w:kern w:val="0"/>
          <w:szCs w:val="21"/>
          <w:lang w:bidi="ar"/>
        </w:rPr>
        <w:t>倒</w:t>
      </w:r>
      <w:r>
        <w:rPr>
          <w:rFonts w:hint="eastAsia" w:ascii="宋体" w:hAnsi="宋体" w:eastAsia="宋体" w:cs="宋体"/>
          <w:b/>
          <w:bCs/>
          <w:kern w:val="0"/>
          <w:szCs w:val="21"/>
          <w:lang w:bidi="ar"/>
        </w:rPr>
        <w:t>置显微镜</w:t>
      </w:r>
      <w:r>
        <w:rPr>
          <w:rFonts w:hint="eastAsia" w:ascii="宋体" w:hAnsi="宋体" w:eastAsia="宋体" w:cs="宋体"/>
          <w:color w:val="0000FF"/>
          <w:kern w:val="0"/>
          <w:szCs w:val="21"/>
          <w:lang w:bidi="ar"/>
        </w:rPr>
        <w:t xml:space="preserve"> </w:t>
      </w:r>
    </w:p>
    <w:p w14:paraId="6D6D4A88">
      <w:pPr>
        <w:widowControl/>
        <w:jc w:val="left"/>
        <w:rPr>
          <w:rFonts w:hint="eastAsia" w:ascii="宋体" w:hAnsi="宋体" w:eastAsia="宋体" w:cs="宋体"/>
          <w:b/>
          <w:bCs/>
          <w:color w:val="0000FF"/>
          <w:kern w:val="0"/>
          <w:szCs w:val="21"/>
          <w:lang w:bidi="ar"/>
        </w:rPr>
      </w:pPr>
    </w:p>
    <w:p w14:paraId="721AC622">
      <w:pPr>
        <w:widowControl/>
        <w:jc w:val="left"/>
        <w:rPr>
          <w:rFonts w:hint="eastAsia"/>
        </w:rPr>
      </w:pPr>
      <w:r>
        <w:rPr>
          <w:rFonts w:hint="eastAsia"/>
        </w:rPr>
        <w:t>1整体要求：整体设备可以实现明场、荧光和相衬，通过软件在电脑上实现拍照、录像、测量等功能。</w:t>
      </w:r>
    </w:p>
    <w:p w14:paraId="173F292B">
      <w:pPr>
        <w:widowControl/>
        <w:jc w:val="left"/>
        <w:rPr>
          <w:rFonts w:hint="eastAsia"/>
        </w:rPr>
      </w:pPr>
      <w:r>
        <w:rPr>
          <w:rFonts w:hint="eastAsia"/>
        </w:rPr>
        <w:t>2光学系统：模块化无限远光学系统。</w:t>
      </w:r>
    </w:p>
    <w:p w14:paraId="75F7D441">
      <w:pPr>
        <w:widowControl/>
        <w:jc w:val="left"/>
        <w:rPr>
          <w:rFonts w:hint="eastAsia"/>
        </w:rPr>
      </w:pPr>
      <w:r>
        <w:rPr>
          <w:rFonts w:hint="eastAsia"/>
        </w:rPr>
        <w:t>3物镜：</w:t>
      </w:r>
    </w:p>
    <w:p w14:paraId="7569EC8E">
      <w:pPr>
        <w:widowControl/>
        <w:jc w:val="left"/>
        <w:rPr>
          <w:rFonts w:hint="eastAsia"/>
        </w:rPr>
      </w:pPr>
      <w:r>
        <w:rPr>
          <w:rFonts w:hint="eastAsia"/>
        </w:rPr>
        <w:t xml:space="preserve">长工作距离平场物镜 M-UPLFLN 4X/0.13, </w:t>
      </w:r>
    </w:p>
    <w:p w14:paraId="41EB79A7">
      <w:pPr>
        <w:widowControl/>
        <w:jc w:val="left"/>
        <w:rPr>
          <w:rFonts w:hint="eastAsia"/>
        </w:rPr>
      </w:pPr>
      <w:r>
        <w:rPr>
          <w:rFonts w:hint="eastAsia"/>
        </w:rPr>
        <w:t xml:space="preserve">无限远长工作距离平场消色差物镜 10X/0.25, </w:t>
      </w:r>
    </w:p>
    <w:p w14:paraId="060E71FC">
      <w:pPr>
        <w:widowControl/>
        <w:jc w:val="left"/>
        <w:rPr>
          <w:rFonts w:hint="eastAsia"/>
        </w:rPr>
      </w:pPr>
      <w:r>
        <w:rPr>
          <w:rFonts w:hint="eastAsia"/>
        </w:rPr>
        <w:t>无限远长工作距离平场消色差物镜 40X/0.58,</w:t>
      </w:r>
    </w:p>
    <w:p w14:paraId="11E4778B">
      <w:pPr>
        <w:widowControl/>
        <w:jc w:val="left"/>
        <w:rPr>
          <w:rFonts w:hint="eastAsia"/>
        </w:rPr>
      </w:pPr>
      <w:r>
        <w:rPr>
          <w:rFonts w:hint="eastAsia"/>
        </w:rPr>
        <w:t>无限远长工作距离平场消色差相衬物镜 10X/0.25PH, ；</w:t>
      </w:r>
    </w:p>
    <w:p w14:paraId="7007BB73">
      <w:pPr>
        <w:widowControl/>
        <w:jc w:val="left"/>
        <w:rPr>
          <w:rFonts w:hint="eastAsia"/>
        </w:rPr>
      </w:pPr>
      <w:r>
        <w:rPr>
          <w:rFonts w:hint="eastAsia"/>
        </w:rPr>
        <w:t xml:space="preserve">无限远长工作距离平场消色差物镜 20X/0.45 , </w:t>
      </w:r>
    </w:p>
    <w:p w14:paraId="452319CC">
      <w:pPr>
        <w:widowControl/>
        <w:jc w:val="left"/>
        <w:rPr>
          <w:rFonts w:hint="eastAsia"/>
        </w:rPr>
      </w:pPr>
      <w:r>
        <w:rPr>
          <w:rFonts w:hint="eastAsia"/>
        </w:rPr>
        <w:t>转换器 ：五孔内定位转换器，滚珠轴承内定位，有防霉装置。</w:t>
      </w:r>
    </w:p>
    <w:p w14:paraId="3548ED9C">
      <w:pPr>
        <w:widowControl/>
        <w:jc w:val="left"/>
        <w:rPr>
          <w:rFonts w:hint="eastAsia"/>
        </w:rPr>
      </w:pPr>
      <w:r>
        <w:rPr>
          <w:rFonts w:hint="eastAsia"/>
        </w:rPr>
        <w:t>4数显LED荧光附件：数显LED屏，实时联动显示，UV,B,Y三色荧光激发块，UV激发波段：330-380nmB激发波段：460-490nm、Y激发波段：550-590nm；</w:t>
      </w:r>
    </w:p>
    <w:p w14:paraId="03F6A04B">
      <w:pPr>
        <w:widowControl/>
        <w:jc w:val="left"/>
        <w:rPr>
          <w:rFonts w:hint="eastAsia"/>
        </w:rPr>
      </w:pPr>
      <w:r>
        <w:rPr>
          <w:rFonts w:hint="eastAsia"/>
        </w:rPr>
        <w:t>5聚光镜 ：相衬聚光镜，工作距离55mm，NA：0.42。</w:t>
      </w:r>
    </w:p>
    <w:p w14:paraId="5662AB93">
      <w:pPr>
        <w:widowControl/>
        <w:jc w:val="left"/>
        <w:rPr>
          <w:rFonts w:hint="eastAsia"/>
        </w:rPr>
      </w:pPr>
      <w:r>
        <w:rPr>
          <w:rFonts w:hint="eastAsia"/>
        </w:rPr>
        <w:t>6成像系统：荧光摄像头，230万真实物理像素，USB3.0接口全分辨率下帧率可以达到1920×1200@40fps；像元尺寸：5.86μm×5.86μm；</w:t>
      </w:r>
    </w:p>
    <w:p w14:paraId="2532DE7C">
      <w:pPr>
        <w:widowControl/>
        <w:jc w:val="left"/>
        <w:rPr>
          <w:rFonts w:hint="eastAsia"/>
        </w:rPr>
      </w:pPr>
      <w:r>
        <w:rPr>
          <w:rFonts w:hint="eastAsia"/>
        </w:rPr>
        <w:t>7显微数码测量分析系统：</w:t>
      </w:r>
    </w:p>
    <w:p w14:paraId="12BE4B95">
      <w:pPr>
        <w:widowControl/>
        <w:jc w:val="left"/>
        <w:rPr>
          <w:rFonts w:hint="eastAsia"/>
        </w:rPr>
      </w:pPr>
      <w:r>
        <w:rPr>
          <w:rFonts w:hint="eastAsia"/>
        </w:rPr>
        <w:t>实时荧光多通道合成：便捷荧光多通道合成操作，支持时拍摄并实时多通道合成，最多支持5通道荧光合成，可单独调节各通道亮度、对比度及伽马值调节并实时预览合成效果。</w:t>
      </w:r>
    </w:p>
    <w:p w14:paraId="17DBFB0C">
      <w:pPr>
        <w:widowControl/>
        <w:jc w:val="left"/>
        <w:rPr>
          <w:rFonts w:hint="eastAsia" w:ascii="宋体" w:hAnsi="宋体" w:eastAsia="宋体" w:cs="宋体"/>
          <w:b/>
          <w:bCs/>
          <w:color w:val="000000"/>
          <w:kern w:val="0"/>
          <w:szCs w:val="21"/>
          <w:lang w:bidi="ar"/>
        </w:rPr>
      </w:pPr>
    </w:p>
    <w:p w14:paraId="7057E2D8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  <w:t>6</w:t>
      </w:r>
      <w:r>
        <w:rPr>
          <w:rFonts w:hint="eastAsia" w:ascii="宋体" w:hAnsi="宋体" w:eastAsia="宋体" w:cs="宋体"/>
          <w:b/>
          <w:bCs/>
          <w:color w:val="000000"/>
          <w:kern w:val="0"/>
          <w:szCs w:val="21"/>
          <w:lang w:bidi="ar"/>
        </w:rPr>
        <w:t xml:space="preserve">.防震台 </w:t>
      </w:r>
    </w:p>
    <w:p w14:paraId="48811C96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</w:p>
    <w:p w14:paraId="3C1A2DC6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1 高导磁不锈钢台面，M6 螺孔阵列。 </w:t>
      </w:r>
    </w:p>
    <w:p w14:paraId="038F1FEB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2 万向活塞震动隔离器，隔振效率：垂直与水平均为 90-97％@10Hz。 </w:t>
      </w:r>
    </w:p>
    <w:p w14:paraId="6C884F39">
      <w:pPr>
        <w:widowControl/>
        <w:jc w:val="lef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3 系统固有频率：小于 1-2Hz。 </w:t>
      </w:r>
    </w:p>
    <w:p w14:paraId="6A2AC5CC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</w:p>
    <w:p w14:paraId="257EC48B">
      <w:pPr>
        <w:widowControl/>
        <w:jc w:val="left"/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  <w:t>7.电脑</w:t>
      </w:r>
    </w:p>
    <w:p w14:paraId="08E0EFDD">
      <w:pPr>
        <w:widowControl/>
        <w:jc w:val="left"/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</w:pPr>
    </w:p>
    <w:p w14:paraId="38A972EC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1 ≥i5CPU，32G运行内存，≥1T硬盘，双显示屏（24寸，4K），独显1G。</w:t>
      </w:r>
    </w:p>
    <w:p w14:paraId="37E7801D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2键盘包含数字小键盘，键盘长度≤40cm。</w:t>
      </w:r>
    </w:p>
    <w:p w14:paraId="76191AA6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3 配备上下双屏底座款支架两个。</w:t>
      </w:r>
    </w:p>
    <w:p w14:paraId="472ABCF0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</w:p>
    <w:p w14:paraId="4D9F2C50">
      <w:pPr>
        <w:widowControl/>
        <w:jc w:val="left"/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  <w:t>8.仪器柜</w:t>
      </w:r>
    </w:p>
    <w:p w14:paraId="67B1D4A4">
      <w:pPr>
        <w:widowControl/>
        <w:jc w:val="left"/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</w:pPr>
    </w:p>
    <w:p w14:paraId="6E73CCD4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1可放置放大器，数模转换器，双显示器（24寸），电脑主机及鼠标键盘。</w:t>
      </w:r>
    </w:p>
    <w:p w14:paraId="51CDDD6C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2仪器柜内置插排，满足放大器、数模转换器、显微成像系统、电脑等仪器的供电需求。</w:t>
      </w:r>
    </w:p>
    <w:p w14:paraId="1BCFADDE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</w:p>
    <w:p w14:paraId="6B85E410">
      <w:pPr>
        <w:widowControl/>
        <w:jc w:val="left"/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  <w:t>9.蠕动泵</w:t>
      </w:r>
    </w:p>
    <w:p w14:paraId="0A8B2E2E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</w:p>
    <w:p w14:paraId="187751A3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 xml:space="preserve">1能适配电生理实验液体蠕动需求， </w:t>
      </w:r>
    </w:p>
    <w:p w14:paraId="34839329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2 液体蠕动泵实验液体泵入和泵出细胞浴槽的功能。</w:t>
      </w:r>
    </w:p>
    <w:p w14:paraId="7B3EF735">
      <w:pPr>
        <w:widowControl/>
        <w:jc w:val="left"/>
        <w:rPr>
          <w:rFonts w:hint="eastAsia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3 滤波装置和慢坡模拟切换电路保证了低噪声性能。</w:t>
      </w:r>
    </w:p>
    <w:p w14:paraId="2CF66F64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</w:p>
    <w:p w14:paraId="36B16788">
      <w:pPr>
        <w:widowControl/>
        <w:jc w:val="left"/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  <w:t>10.手动微操</w:t>
      </w:r>
    </w:p>
    <w:p w14:paraId="291726DC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</w:p>
    <w:p w14:paraId="783A9D23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1手动四轴移动：X、Y、Z和斜线方向运动。</w:t>
      </w:r>
    </w:p>
    <w:p w14:paraId="7BAB3209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2行程：X、Y、Z和斜线方向移动≥22mm。</w:t>
      </w:r>
    </w:p>
    <w:p w14:paraId="71AB79E1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3最高分辩率10μm。探头位置可以多重定位。</w:t>
      </w:r>
    </w:p>
    <w:p w14:paraId="5A6F9B42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</w:p>
    <w:p w14:paraId="06A409D3">
      <w:pPr>
        <w:widowControl/>
        <w:jc w:val="left"/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  <w:t>11.屏蔽笼</w:t>
      </w:r>
    </w:p>
    <w:p w14:paraId="5E1984C5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1 尺寸大小与防震台适配，金属材质，可以有效屏蔽噪声。</w:t>
      </w:r>
    </w:p>
    <w:p w14:paraId="45C996AF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</w:p>
    <w:p w14:paraId="14075E59">
      <w:pPr>
        <w:widowControl/>
        <w:jc w:val="left"/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</w:pPr>
      <w:r>
        <w:rPr>
          <w:rFonts w:hint="eastAsia" w:ascii="宋体" w:hAnsi="宋体" w:cs="宋体"/>
          <w:b/>
          <w:bCs/>
          <w:color w:val="000000"/>
          <w:kern w:val="0"/>
          <w:szCs w:val="21"/>
          <w:lang w:bidi="ar"/>
        </w:rPr>
        <w:t>12.细胞槽</w:t>
      </w:r>
    </w:p>
    <w:p w14:paraId="4A42C412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1尺寸：≥40x23x4mm 容积：≥150μl/mm，3套可供更换使用。</w:t>
      </w:r>
    </w:p>
    <w:p w14:paraId="707C5E64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2 细胞槽适配器，适配倒置显微镜载物台。与液体蠕动泵配套。</w:t>
      </w:r>
    </w:p>
    <w:p w14:paraId="3DE6A219">
      <w:pPr>
        <w:widowControl/>
        <w:jc w:val="left"/>
        <w:rPr>
          <w:rFonts w:hint="eastAsia" w:ascii="宋体" w:hAnsi="宋体" w:eastAsia="宋体" w:cs="宋体"/>
          <w:color w:val="000000"/>
          <w:kern w:val="0"/>
          <w:szCs w:val="21"/>
          <w:lang w:bidi="ar"/>
        </w:rPr>
      </w:pPr>
      <w:r>
        <w:rPr>
          <w:rFonts w:hint="eastAsia" w:ascii="宋体" w:hAnsi="宋体" w:eastAsia="宋体" w:cs="宋体"/>
          <w:color w:val="000000"/>
          <w:kern w:val="0"/>
          <w:szCs w:val="21"/>
          <w:lang w:bidi="ar"/>
        </w:rPr>
        <w:t>3 每套配备管件、密封胶、盖玻片（适配细胞槽大小，用于替换）。</w:t>
      </w:r>
    </w:p>
    <w:p w14:paraId="39EED479">
      <w:pPr>
        <w:spacing w:line="400" w:lineRule="exact"/>
        <w:ind w:firstLine="420" w:firstLineChars="200"/>
        <w:rPr>
          <w:rFonts w:ascii="Times New Roman" w:hAnsi="Times New Roman" w:eastAsia="华文仿宋" w:cs="仿宋"/>
          <w:b/>
          <w:bCs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兰亭粗黑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altName w:val="宋体"/>
    <w:panose1 w:val="00000000000000000000"/>
    <w:charset w:val="86"/>
    <w:family w:val="auto"/>
    <w:pitch w:val="default"/>
    <w:sig w:usb0="00000000" w:usb1="00000000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A1776E"/>
    <w:multiLevelType w:val="singleLevel"/>
    <w:tmpl w:val="69A1776E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Y0MTViMDExNzgxMTg5ZGNkMDQzZTM0OTU5MTA5OGUifQ=="/>
  </w:docVars>
  <w:rsids>
    <w:rsidRoot w:val="00E02AC7"/>
    <w:rsid w:val="000B6FFB"/>
    <w:rsid w:val="000C181A"/>
    <w:rsid w:val="000C6A38"/>
    <w:rsid w:val="000D44DB"/>
    <w:rsid w:val="001D4589"/>
    <w:rsid w:val="001E1302"/>
    <w:rsid w:val="00281F8A"/>
    <w:rsid w:val="0028206E"/>
    <w:rsid w:val="00300B92"/>
    <w:rsid w:val="00355E77"/>
    <w:rsid w:val="00375B40"/>
    <w:rsid w:val="003963BB"/>
    <w:rsid w:val="004B77FC"/>
    <w:rsid w:val="004C5C37"/>
    <w:rsid w:val="004D4ADB"/>
    <w:rsid w:val="005D47E4"/>
    <w:rsid w:val="005E455E"/>
    <w:rsid w:val="00743C63"/>
    <w:rsid w:val="007804D2"/>
    <w:rsid w:val="007B6C80"/>
    <w:rsid w:val="007C7B08"/>
    <w:rsid w:val="007D49CA"/>
    <w:rsid w:val="008063BB"/>
    <w:rsid w:val="008C0A1C"/>
    <w:rsid w:val="00911E9A"/>
    <w:rsid w:val="00926E11"/>
    <w:rsid w:val="00982175"/>
    <w:rsid w:val="009B6E14"/>
    <w:rsid w:val="00A90637"/>
    <w:rsid w:val="00A96AAC"/>
    <w:rsid w:val="00AA03C8"/>
    <w:rsid w:val="00AB0CD4"/>
    <w:rsid w:val="00C412F8"/>
    <w:rsid w:val="00DA1F3D"/>
    <w:rsid w:val="00E02AC7"/>
    <w:rsid w:val="00FC6311"/>
    <w:rsid w:val="01701106"/>
    <w:rsid w:val="047D3FB0"/>
    <w:rsid w:val="051F51D0"/>
    <w:rsid w:val="072D30D9"/>
    <w:rsid w:val="07EF52C9"/>
    <w:rsid w:val="0AD46BC4"/>
    <w:rsid w:val="0B2B2AAD"/>
    <w:rsid w:val="157900FD"/>
    <w:rsid w:val="18321695"/>
    <w:rsid w:val="18A1169E"/>
    <w:rsid w:val="192034C4"/>
    <w:rsid w:val="1F5B2C1A"/>
    <w:rsid w:val="266A5364"/>
    <w:rsid w:val="282C5029"/>
    <w:rsid w:val="29A50C45"/>
    <w:rsid w:val="34173BB9"/>
    <w:rsid w:val="39913318"/>
    <w:rsid w:val="3C5E312C"/>
    <w:rsid w:val="3DBF29D9"/>
    <w:rsid w:val="3E5B7339"/>
    <w:rsid w:val="451434DB"/>
    <w:rsid w:val="4CA35D9E"/>
    <w:rsid w:val="51782617"/>
    <w:rsid w:val="52FB52AE"/>
    <w:rsid w:val="56074B26"/>
    <w:rsid w:val="64F12870"/>
    <w:rsid w:val="652137CE"/>
    <w:rsid w:val="65B72D64"/>
    <w:rsid w:val="6A8C76F3"/>
    <w:rsid w:val="72DF1BEB"/>
    <w:rsid w:val="73A624DF"/>
    <w:rsid w:val="79CE0E50"/>
    <w:rsid w:val="7C57050E"/>
    <w:rsid w:val="7D76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1"/>
    <w:pPr>
      <w:spacing w:before="30"/>
      <w:ind w:left="1291" w:right="1429"/>
      <w:jc w:val="center"/>
      <w:outlineLvl w:val="1"/>
    </w:pPr>
    <w:rPr>
      <w:rFonts w:ascii="方正兰亭粗黑简体" w:hAnsi="方正兰亭粗黑简体" w:eastAsia="方正兰亭粗黑简体" w:cs="方正兰亭粗黑简体"/>
      <w:sz w:val="28"/>
      <w:szCs w:val="2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character" w:customStyle="1" w:styleId="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styleId="11">
    <w:name w:val="List Paragraph"/>
    <w:basedOn w:val="1"/>
    <w:link w:val="12"/>
    <w:autoRedefine/>
    <w:qFormat/>
    <w:uiPriority w:val="0"/>
    <w:pPr>
      <w:ind w:firstLine="420" w:firstLineChars="200"/>
    </w:pPr>
    <w:rPr>
      <w:szCs w:val="24"/>
    </w:rPr>
  </w:style>
  <w:style w:type="character" w:customStyle="1" w:styleId="12">
    <w:name w:val="列表段落 字符"/>
    <w:link w:val="11"/>
    <w:autoRedefine/>
    <w:qFormat/>
    <w:uiPriority w:val="0"/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2038</Words>
  <Characters>2453</Characters>
  <Lines>18</Lines>
  <Paragraphs>5</Paragraphs>
  <TotalTime>23</TotalTime>
  <ScaleCrop>false</ScaleCrop>
  <LinksUpToDate>false</LinksUpToDate>
  <CharactersWithSpaces>2563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2022-11-18T11:06:00Z</dcterms:created>
  <dc:creator>杨 金桐</dc:creator>
  <cp:lastModifiedBy>段池</cp:lastModifiedBy>
  <dcterms:modified xsi:type="dcterms:W3CDTF">2025-11-18T08:06:43Z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0E8B3DE1DF0147DFBAFE0712836A64B9_13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