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8786BE">
      <w:pPr>
        <w:rPr>
          <w:b/>
        </w:rPr>
      </w:pPr>
      <w:r>
        <w:rPr>
          <w:rFonts w:hint="eastAsia"/>
          <w:b/>
        </w:rPr>
        <w:t>一、总则</w:t>
      </w:r>
    </w:p>
    <w:p w14:paraId="5D71991E">
      <w:pPr>
        <w:autoSpaceDE w:val="0"/>
        <w:autoSpaceDN w:val="0"/>
        <w:adjustRightInd w:val="0"/>
        <w:ind w:firstLine="420"/>
        <w:jc w:val="left"/>
        <w:rPr>
          <w:rFonts w:ascii="等线" w:hAnsi="等线" w:eastAsia="等线"/>
          <w:bCs/>
          <w:szCs w:val="21"/>
        </w:rPr>
      </w:pPr>
      <w:r>
        <w:rPr>
          <w:rFonts w:hint="eastAsia" w:ascii="等线" w:hAnsi="等线" w:eastAsia="等线"/>
          <w:bCs/>
          <w:szCs w:val="21"/>
        </w:rPr>
        <w:t>本项目为交钥匙工程，凡与此项目相关的一切费用均包括在投标总价内，买方不再承担其他费用。投标报价须包含：货物的运输、卸货、安装、调试、培训等服务费用。</w:t>
      </w:r>
    </w:p>
    <w:p w14:paraId="157B69CD">
      <w:pPr>
        <w:rPr>
          <w:b/>
        </w:rPr>
      </w:pPr>
      <w:r>
        <w:rPr>
          <w:rFonts w:hint="eastAsia"/>
          <w:b/>
        </w:rPr>
        <w:t>二、产品质量保证</w:t>
      </w:r>
    </w:p>
    <w:p w14:paraId="0272C228">
      <w:pPr>
        <w:autoSpaceDE w:val="0"/>
        <w:autoSpaceDN w:val="0"/>
        <w:adjustRightInd w:val="0"/>
        <w:ind w:firstLine="420"/>
        <w:jc w:val="left"/>
        <w:rPr>
          <w:rFonts w:ascii="等线" w:hAnsi="等线" w:eastAsia="等线"/>
          <w:bCs/>
          <w:szCs w:val="21"/>
        </w:rPr>
      </w:pPr>
      <w:r>
        <w:rPr>
          <w:rFonts w:hint="eastAsia" w:ascii="等线" w:hAnsi="等线" w:eastAsia="等线"/>
          <w:bCs/>
          <w:szCs w:val="21"/>
        </w:rPr>
        <w:t>成交供应商应提供全新的未使用的货物，所有设备要求免费送货上门，免费安装调试。</w:t>
      </w:r>
    </w:p>
    <w:p w14:paraId="5850D9DF">
      <w:pPr>
        <w:rPr>
          <w:b/>
        </w:rPr>
      </w:pPr>
      <w:r>
        <w:rPr>
          <w:rFonts w:hint="eastAsia"/>
          <w:b/>
        </w:rPr>
        <w:t>三、交货期及交货地点</w:t>
      </w:r>
    </w:p>
    <w:p w14:paraId="16B0423A">
      <w:pPr>
        <w:pStyle w:val="10"/>
        <w:autoSpaceDE w:val="0"/>
        <w:autoSpaceDN w:val="0"/>
        <w:adjustRightInd w:val="0"/>
        <w:ind w:left="850" w:leftChars="203" w:hanging="424" w:firstLineChars="0"/>
        <w:jc w:val="left"/>
        <w:rPr>
          <w:rFonts w:ascii="等线" w:hAnsi="等线" w:eastAsia="等线"/>
          <w:bCs/>
          <w:szCs w:val="21"/>
        </w:rPr>
      </w:pPr>
      <w:r>
        <w:rPr>
          <w:rFonts w:hint="eastAsia" w:ascii="等线" w:hAnsi="等线" w:eastAsia="等线"/>
          <w:bCs/>
          <w:szCs w:val="21"/>
        </w:rPr>
        <w:t>3.1 交货时间：合同签订后 120 日内交货。</w:t>
      </w:r>
    </w:p>
    <w:p w14:paraId="7622CB36">
      <w:pPr>
        <w:pStyle w:val="10"/>
        <w:autoSpaceDE w:val="0"/>
        <w:autoSpaceDN w:val="0"/>
        <w:adjustRightInd w:val="0"/>
        <w:ind w:left="850" w:leftChars="203" w:hanging="424" w:firstLineChars="0"/>
        <w:jc w:val="left"/>
        <w:rPr>
          <w:rFonts w:ascii="等线" w:hAnsi="等线" w:eastAsia="等线"/>
          <w:bCs/>
          <w:szCs w:val="21"/>
        </w:rPr>
      </w:pPr>
      <w:r>
        <w:rPr>
          <w:rFonts w:hint="eastAsia" w:ascii="等线" w:hAnsi="等线" w:eastAsia="等线"/>
          <w:bCs/>
          <w:szCs w:val="21"/>
        </w:rPr>
        <w:t>3.2 交货地点：中南大学</w:t>
      </w:r>
    </w:p>
    <w:p w14:paraId="18345D78">
      <w:pPr>
        <w:pStyle w:val="10"/>
        <w:autoSpaceDE w:val="0"/>
        <w:autoSpaceDN w:val="0"/>
        <w:adjustRightInd w:val="0"/>
        <w:ind w:left="850" w:leftChars="203" w:hanging="424" w:firstLineChars="0"/>
        <w:jc w:val="left"/>
        <w:rPr>
          <w:rFonts w:ascii="等线" w:hAnsi="等线" w:eastAsia="等线"/>
          <w:bCs/>
          <w:szCs w:val="21"/>
        </w:rPr>
      </w:pPr>
      <w:r>
        <w:rPr>
          <w:rFonts w:hint="eastAsia" w:ascii="等线" w:hAnsi="等线" w:eastAsia="等线"/>
          <w:bCs/>
          <w:szCs w:val="21"/>
        </w:rPr>
        <w:t>3.3</w:t>
      </w:r>
      <w:r>
        <w:rPr>
          <w:rFonts w:ascii="等线" w:hAnsi="等线" w:eastAsia="等线"/>
          <w:bCs/>
          <w:szCs w:val="21"/>
        </w:rPr>
        <w:t xml:space="preserve"> </w:t>
      </w:r>
      <w:r>
        <w:rPr>
          <w:rFonts w:hint="eastAsia" w:ascii="等线" w:hAnsi="等线" w:eastAsia="等线"/>
          <w:bCs/>
          <w:szCs w:val="21"/>
        </w:rPr>
        <w:t>中标人须负责所有设备的安装调试，在项目实施过程中须加强项目实施的组织管理，所有人员应遵守用户单位有关规章制度。</w:t>
      </w:r>
    </w:p>
    <w:p w14:paraId="096A9077">
      <w:pPr>
        <w:pStyle w:val="10"/>
        <w:autoSpaceDE w:val="0"/>
        <w:autoSpaceDN w:val="0"/>
        <w:adjustRightInd w:val="0"/>
        <w:ind w:left="850" w:leftChars="203" w:hanging="424" w:firstLineChars="0"/>
        <w:jc w:val="left"/>
        <w:rPr>
          <w:rFonts w:ascii="等线" w:hAnsi="等线" w:eastAsia="等线"/>
          <w:bCs/>
          <w:szCs w:val="21"/>
        </w:rPr>
      </w:pPr>
      <w:r>
        <w:rPr>
          <w:rFonts w:hint="eastAsia" w:ascii="等线" w:hAnsi="等线" w:eastAsia="等线"/>
          <w:bCs/>
          <w:szCs w:val="21"/>
        </w:rPr>
        <w:t>3.4 项目完成后，中标人应将项目有关的全部资料，包括产品资料、技术文档等移交采购人。</w:t>
      </w:r>
    </w:p>
    <w:p w14:paraId="1C2F8008">
      <w:pPr>
        <w:rPr>
          <w:b/>
        </w:rPr>
      </w:pPr>
      <w:r>
        <w:rPr>
          <w:rFonts w:hint="eastAsia"/>
          <w:b/>
        </w:rPr>
        <w:t>四、设备、安装与培训：</w:t>
      </w:r>
    </w:p>
    <w:p w14:paraId="18CEC5F5">
      <w:pPr>
        <w:pStyle w:val="10"/>
        <w:autoSpaceDE w:val="0"/>
        <w:autoSpaceDN w:val="0"/>
        <w:adjustRightInd w:val="0"/>
        <w:ind w:left="850" w:leftChars="203" w:hanging="424" w:firstLineChars="0"/>
        <w:jc w:val="left"/>
        <w:rPr>
          <w:rFonts w:ascii="等线" w:hAnsi="等线" w:eastAsia="等线"/>
          <w:bCs/>
          <w:szCs w:val="21"/>
        </w:rPr>
      </w:pPr>
      <w:r>
        <w:rPr>
          <w:rFonts w:ascii="等线" w:hAnsi="等线" w:eastAsia="等线"/>
          <w:bCs/>
          <w:szCs w:val="21"/>
        </w:rPr>
        <w:t xml:space="preserve">4.1 </w:t>
      </w:r>
      <w:r>
        <w:rPr>
          <w:rFonts w:hint="eastAsia" w:ascii="等线" w:hAnsi="等线" w:eastAsia="等线"/>
          <w:bCs/>
          <w:szCs w:val="21"/>
        </w:rPr>
        <w:t>卖方应提供免费安装、调试、检验、培训及技术服务。在设备到达买方现场后，卖方在接到买方通知后在1</w:t>
      </w:r>
      <w:r>
        <w:rPr>
          <w:rFonts w:ascii="等线" w:hAnsi="等线" w:eastAsia="等线"/>
          <w:bCs/>
          <w:szCs w:val="21"/>
        </w:rPr>
        <w:t>5</w:t>
      </w:r>
      <w:r>
        <w:rPr>
          <w:rFonts w:hint="eastAsia" w:ascii="等线" w:hAnsi="等线" w:eastAsia="等线"/>
          <w:bCs/>
          <w:szCs w:val="21"/>
        </w:rPr>
        <w:t>个工作日内，卖方必须负责安装调试完毕，即达到买方正常使用要求。</w:t>
      </w:r>
    </w:p>
    <w:p w14:paraId="4D99F80D">
      <w:pPr>
        <w:pStyle w:val="10"/>
        <w:autoSpaceDE w:val="0"/>
        <w:autoSpaceDN w:val="0"/>
        <w:adjustRightInd w:val="0"/>
        <w:ind w:left="850" w:leftChars="203" w:hanging="424" w:firstLineChars="0"/>
        <w:jc w:val="left"/>
        <w:rPr>
          <w:rFonts w:ascii="等线" w:hAnsi="等线" w:eastAsia="等线"/>
          <w:bCs/>
          <w:szCs w:val="21"/>
        </w:rPr>
      </w:pPr>
      <w:r>
        <w:rPr>
          <w:rFonts w:ascii="等线" w:hAnsi="等线" w:eastAsia="等线"/>
          <w:bCs/>
          <w:szCs w:val="21"/>
        </w:rPr>
        <w:t xml:space="preserve">4.2 </w:t>
      </w:r>
      <w:r>
        <w:rPr>
          <w:rFonts w:hint="eastAsia" w:ascii="等线" w:hAnsi="等线" w:eastAsia="等线"/>
          <w:bCs/>
          <w:szCs w:val="21"/>
        </w:rPr>
        <w:t>卖方应派技术专家等人员到买方现场指导安装、调试及试运行，并提供用户管理人员的现场操作、使用、基本维护及所需的其它方面的免费技术培训。</w:t>
      </w:r>
    </w:p>
    <w:p w14:paraId="56E47775">
      <w:pPr>
        <w:rPr>
          <w:b/>
        </w:rPr>
      </w:pPr>
      <w:r>
        <w:rPr>
          <w:rFonts w:hint="eastAsia"/>
          <w:b/>
        </w:rPr>
        <w:t>五、验收标准和方法：</w:t>
      </w:r>
    </w:p>
    <w:p w14:paraId="2ED0CDAC">
      <w:pPr>
        <w:pStyle w:val="10"/>
        <w:autoSpaceDE w:val="0"/>
        <w:autoSpaceDN w:val="0"/>
        <w:adjustRightInd w:val="0"/>
        <w:ind w:left="850" w:leftChars="203" w:hanging="424" w:firstLineChars="0"/>
        <w:jc w:val="left"/>
        <w:rPr>
          <w:rFonts w:ascii="等线" w:hAnsi="等线" w:eastAsia="等线"/>
          <w:bCs/>
          <w:szCs w:val="21"/>
        </w:rPr>
      </w:pPr>
      <w:r>
        <w:rPr>
          <w:rFonts w:hint="eastAsia" w:ascii="等线" w:hAnsi="等线" w:eastAsia="等线"/>
          <w:bCs/>
          <w:szCs w:val="21"/>
        </w:rPr>
        <w:t>5.1 本项目按照一般程序进行验收，但同时需严格按招标参数来进行性能及功能的验收。</w:t>
      </w:r>
    </w:p>
    <w:p w14:paraId="46E93369">
      <w:pPr>
        <w:pStyle w:val="10"/>
        <w:autoSpaceDE w:val="0"/>
        <w:autoSpaceDN w:val="0"/>
        <w:adjustRightInd w:val="0"/>
        <w:ind w:left="850" w:leftChars="203" w:hanging="424" w:firstLineChars="0"/>
        <w:jc w:val="left"/>
        <w:rPr>
          <w:rFonts w:ascii="等线" w:hAnsi="等线" w:eastAsia="等线"/>
          <w:bCs/>
          <w:szCs w:val="21"/>
        </w:rPr>
      </w:pPr>
      <w:r>
        <w:rPr>
          <w:rFonts w:hint="eastAsia" w:ascii="等线" w:hAnsi="等线" w:eastAsia="等线"/>
          <w:bCs/>
          <w:szCs w:val="21"/>
        </w:rPr>
        <w:t>5.2 验收过程中产生纠纷的，由质量技术监督部门认定的检测机构检测,如为中标人原因造成的，由中标人承担检测费用；否则，由采购人承担。</w:t>
      </w:r>
    </w:p>
    <w:p w14:paraId="175398BC">
      <w:pPr>
        <w:pStyle w:val="10"/>
        <w:autoSpaceDE w:val="0"/>
        <w:autoSpaceDN w:val="0"/>
        <w:adjustRightInd w:val="0"/>
        <w:ind w:left="850" w:leftChars="203" w:hanging="424" w:firstLineChars="0"/>
        <w:jc w:val="left"/>
        <w:rPr>
          <w:rFonts w:ascii="等线" w:hAnsi="等线" w:eastAsia="等线"/>
          <w:bCs/>
          <w:szCs w:val="21"/>
        </w:rPr>
      </w:pPr>
      <w:r>
        <w:rPr>
          <w:rFonts w:hint="eastAsia" w:ascii="等线" w:hAnsi="等线" w:eastAsia="等线"/>
          <w:bCs/>
          <w:szCs w:val="21"/>
        </w:rPr>
        <w:t>5.3 项目验收时须提供详细的技术文档（含电子版）。</w:t>
      </w:r>
    </w:p>
    <w:p w14:paraId="5EDC9CC6">
      <w:pPr>
        <w:pStyle w:val="10"/>
        <w:autoSpaceDE w:val="0"/>
        <w:autoSpaceDN w:val="0"/>
        <w:adjustRightInd w:val="0"/>
        <w:ind w:left="850" w:leftChars="203" w:hanging="424" w:firstLineChars="0"/>
        <w:jc w:val="left"/>
        <w:rPr>
          <w:rFonts w:ascii="等线" w:hAnsi="等线" w:eastAsia="等线"/>
          <w:bCs/>
          <w:szCs w:val="21"/>
        </w:rPr>
      </w:pPr>
      <w:r>
        <w:rPr>
          <w:rFonts w:hint="eastAsia" w:ascii="等线" w:hAnsi="等线" w:eastAsia="等线"/>
          <w:bCs/>
          <w:szCs w:val="21"/>
        </w:rPr>
        <w:t>5.4 投标人必需对招标文件的技术参数作实质性响应，拒绝虚假应标，否则后果自负，必须提供真实的技术偏离表。</w:t>
      </w:r>
    </w:p>
    <w:p w14:paraId="1A3D36F1">
      <w:pPr>
        <w:rPr>
          <w:rFonts w:ascii="等线" w:hAnsi="等线" w:eastAsia="等线"/>
          <w:bCs/>
          <w:szCs w:val="21"/>
        </w:rPr>
      </w:pPr>
      <w:r>
        <w:rPr>
          <w:rFonts w:hint="eastAsia"/>
          <w:b/>
        </w:rPr>
        <w:t>六、其他要求</w:t>
      </w:r>
    </w:p>
    <w:p w14:paraId="39718069">
      <w:pPr>
        <w:autoSpaceDE w:val="0"/>
        <w:autoSpaceDN w:val="0"/>
        <w:adjustRightInd w:val="0"/>
        <w:ind w:left="210" w:hanging="210" w:hangingChars="100"/>
        <w:jc w:val="left"/>
        <w:rPr>
          <w:rFonts w:ascii="等线" w:hAnsi="等线" w:eastAsia="等线"/>
          <w:bCs/>
          <w:szCs w:val="21"/>
        </w:rPr>
      </w:pPr>
      <w:r>
        <w:rPr>
          <w:rFonts w:hint="eastAsia" w:ascii="等线" w:hAnsi="等线" w:eastAsia="等线"/>
          <w:bCs/>
          <w:szCs w:val="21"/>
        </w:rPr>
        <w:t>（一）售后服务要求：</w:t>
      </w:r>
    </w:p>
    <w:p w14:paraId="52581336">
      <w:pPr>
        <w:autoSpaceDE w:val="0"/>
        <w:autoSpaceDN w:val="0"/>
        <w:adjustRightInd w:val="0"/>
        <w:ind w:left="705" w:leftChars="202" w:hanging="281" w:hangingChars="134"/>
        <w:jc w:val="left"/>
        <w:rPr>
          <w:rFonts w:ascii="等线" w:hAnsi="等线" w:eastAsia="等线"/>
          <w:bCs/>
          <w:szCs w:val="21"/>
        </w:rPr>
      </w:pPr>
      <w:r>
        <w:rPr>
          <w:rFonts w:hint="eastAsia" w:ascii="等线" w:hAnsi="等线" w:eastAsia="等线"/>
          <w:bCs/>
          <w:szCs w:val="21"/>
        </w:rPr>
        <w:t>1. 要求为原厂原装全新的产品，要求提供不少于1年的原厂保修，须提供投标产品制造商针对本项目出具的注明产品主机保修年限的售后服务承诺文件。</w:t>
      </w:r>
    </w:p>
    <w:p w14:paraId="7B907282">
      <w:pPr>
        <w:autoSpaceDE w:val="0"/>
        <w:autoSpaceDN w:val="0"/>
        <w:adjustRightInd w:val="0"/>
        <w:ind w:left="705" w:leftChars="202" w:hanging="281" w:hangingChars="134"/>
        <w:jc w:val="left"/>
        <w:rPr>
          <w:rFonts w:ascii="等线" w:hAnsi="等线" w:eastAsia="等线"/>
          <w:bCs/>
          <w:szCs w:val="21"/>
        </w:rPr>
      </w:pPr>
      <w:r>
        <w:rPr>
          <w:rFonts w:hint="eastAsia" w:ascii="等线" w:hAnsi="等线" w:eastAsia="等线"/>
          <w:bCs/>
          <w:szCs w:val="21"/>
        </w:rPr>
        <w:t>2. 服务应及时有效，供应商在收到用户故障信息后，2小时内赶到用户现场予以处理，特殊情况下，技术人员能够长时间在现场保障设备正常运行。</w:t>
      </w:r>
    </w:p>
    <w:p w14:paraId="680F8DC7">
      <w:pPr>
        <w:autoSpaceDE w:val="0"/>
        <w:autoSpaceDN w:val="0"/>
        <w:adjustRightInd w:val="0"/>
        <w:ind w:left="210" w:hanging="210" w:hangingChars="100"/>
        <w:jc w:val="left"/>
        <w:rPr>
          <w:rFonts w:ascii="等线" w:hAnsi="等线" w:eastAsia="等线"/>
          <w:bCs/>
          <w:szCs w:val="21"/>
        </w:rPr>
      </w:pPr>
      <w:r>
        <w:rPr>
          <w:rFonts w:hint="eastAsia" w:ascii="等线" w:hAnsi="等线" w:eastAsia="等线"/>
          <w:bCs/>
          <w:szCs w:val="21"/>
        </w:rPr>
        <w:t>（二）质量保证：</w:t>
      </w:r>
    </w:p>
    <w:p w14:paraId="28391229">
      <w:pPr>
        <w:autoSpaceDE w:val="0"/>
        <w:autoSpaceDN w:val="0"/>
        <w:adjustRightInd w:val="0"/>
        <w:ind w:left="707" w:leftChars="203" w:hanging="281" w:hangingChars="134"/>
        <w:jc w:val="left"/>
        <w:rPr>
          <w:rFonts w:ascii="等线" w:hAnsi="等线" w:eastAsia="等线"/>
          <w:bCs/>
          <w:szCs w:val="21"/>
        </w:rPr>
      </w:pPr>
      <w:r>
        <w:rPr>
          <w:rFonts w:hint="eastAsia" w:ascii="等线" w:hAnsi="等线" w:eastAsia="等线"/>
          <w:bCs/>
          <w:szCs w:val="21"/>
        </w:rPr>
        <w:t>1. 供应商供货的产品，必须与采购要求的技术规格相符，不得对其内容进行修改。</w:t>
      </w:r>
    </w:p>
    <w:p w14:paraId="335784C8">
      <w:pPr>
        <w:autoSpaceDE w:val="0"/>
        <w:autoSpaceDN w:val="0"/>
        <w:adjustRightInd w:val="0"/>
        <w:ind w:left="707" w:leftChars="203" w:hanging="281" w:hangingChars="134"/>
        <w:jc w:val="left"/>
        <w:rPr>
          <w:rFonts w:ascii="等线" w:hAnsi="等线" w:eastAsia="等线"/>
          <w:bCs/>
          <w:szCs w:val="21"/>
        </w:rPr>
      </w:pPr>
      <w:r>
        <w:rPr>
          <w:rFonts w:hint="eastAsia" w:ascii="等线" w:hAnsi="等线" w:eastAsia="等线"/>
          <w:bCs/>
          <w:szCs w:val="21"/>
        </w:rPr>
        <w:t>2. 中标后须接受使用部门现场确认技术参数满足要求，否则采购单位有权拒收，并要求其由于耽误时间造成的损失进行赔偿：自中标公示日起每天按1%中标金额进行赔偿。</w:t>
      </w:r>
    </w:p>
    <w:p w14:paraId="07A2467E">
      <w:pPr>
        <w:autoSpaceDE w:val="0"/>
        <w:autoSpaceDN w:val="0"/>
        <w:adjustRightInd w:val="0"/>
        <w:ind w:left="707" w:leftChars="203" w:hanging="281" w:hangingChars="134"/>
        <w:jc w:val="left"/>
        <w:rPr>
          <w:rFonts w:ascii="等线" w:hAnsi="等线" w:eastAsia="等线"/>
          <w:bCs/>
          <w:szCs w:val="21"/>
        </w:rPr>
      </w:pPr>
      <w:r>
        <w:rPr>
          <w:rFonts w:hint="eastAsia" w:ascii="等线" w:hAnsi="等线" w:eastAsia="等线"/>
          <w:bCs/>
          <w:szCs w:val="21"/>
        </w:rPr>
        <w:t>3. 供应商参与政府采购应提供真实有效的证明材料，应当诚信守法、公平竞争。如有以提供虚假材料（包括但不限于虚假技术参数响应、虚假制造商产品彩页、虚假制造商文件、虚假业绩、虚假证书等）、隐瞒失信信息等谋取中标的行为，一经发现，将报行政监管部门严肃查处。</w:t>
      </w:r>
      <w:bookmarkStart w:id="0" w:name="_GoBack"/>
      <w:bookmarkEnd w:id="0"/>
    </w:p>
    <w:p w14:paraId="3D163749">
      <w:pPr>
        <w:rPr>
          <w:b/>
        </w:rPr>
      </w:pPr>
      <w:r>
        <w:rPr>
          <w:rFonts w:hint="eastAsia"/>
          <w:b/>
        </w:rPr>
        <w:t>七、付款要求</w:t>
      </w:r>
    </w:p>
    <w:p w14:paraId="330A54FC">
      <w:pPr>
        <w:autoSpaceDE w:val="0"/>
        <w:autoSpaceDN w:val="0"/>
        <w:adjustRightInd w:val="0"/>
        <w:ind w:firstLine="420" w:firstLineChars="200"/>
        <w:jc w:val="left"/>
        <w:rPr>
          <w:rFonts w:ascii="等线" w:hAnsi="等线" w:eastAsia="等线"/>
          <w:bCs/>
          <w:szCs w:val="21"/>
        </w:rPr>
      </w:pPr>
      <w:r>
        <w:rPr>
          <w:rFonts w:hint="eastAsia" w:ascii="等线" w:hAnsi="等线" w:eastAsia="等线"/>
          <w:bCs/>
          <w:szCs w:val="21"/>
        </w:rPr>
        <w:t>合同签订后7个工作日内，采购人支付合同金额30%作预付款；货到采购人指定地点并经验收合格后5个工作日内，中标人向采购人账户缴纳合同金额2%作履约保证金后，采购人凭借中标人开具的增值税专用发票，向中标人支付70%货款。履约保证金在验收合格之日起1年后退回，履约保证金不计利息。</w:t>
      </w:r>
    </w:p>
    <w:sectPr>
      <w:pgSz w:w="11906" w:h="16838"/>
      <w:pgMar w:top="993" w:right="1416" w:bottom="851" w:left="1985"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9B52BD"/>
    <w:rsid w:val="00093054"/>
    <w:rsid w:val="000C5A2E"/>
    <w:rsid w:val="001F0379"/>
    <w:rsid w:val="00261C52"/>
    <w:rsid w:val="00271A4F"/>
    <w:rsid w:val="002D29C9"/>
    <w:rsid w:val="002F1D56"/>
    <w:rsid w:val="00336DB4"/>
    <w:rsid w:val="003D77A4"/>
    <w:rsid w:val="004C35C2"/>
    <w:rsid w:val="004E123B"/>
    <w:rsid w:val="00520CE6"/>
    <w:rsid w:val="005539E8"/>
    <w:rsid w:val="00635AAC"/>
    <w:rsid w:val="0067762E"/>
    <w:rsid w:val="006C4536"/>
    <w:rsid w:val="007E3ADD"/>
    <w:rsid w:val="007F292F"/>
    <w:rsid w:val="0085336D"/>
    <w:rsid w:val="00861288"/>
    <w:rsid w:val="00884F1D"/>
    <w:rsid w:val="008A1665"/>
    <w:rsid w:val="008F25FC"/>
    <w:rsid w:val="00916DB3"/>
    <w:rsid w:val="00971E4B"/>
    <w:rsid w:val="00984930"/>
    <w:rsid w:val="00A13701"/>
    <w:rsid w:val="00AD740B"/>
    <w:rsid w:val="00B04530"/>
    <w:rsid w:val="00B312AE"/>
    <w:rsid w:val="00B97D65"/>
    <w:rsid w:val="00C05DBD"/>
    <w:rsid w:val="00C8733D"/>
    <w:rsid w:val="00CA2F01"/>
    <w:rsid w:val="00CF165E"/>
    <w:rsid w:val="00D06A39"/>
    <w:rsid w:val="00D37D77"/>
    <w:rsid w:val="00EE2AA6"/>
    <w:rsid w:val="00EF719D"/>
    <w:rsid w:val="00F46E4A"/>
    <w:rsid w:val="00F85CEA"/>
    <w:rsid w:val="506E2477"/>
    <w:rsid w:val="529B52BD"/>
    <w:rsid w:val="5DA136A6"/>
    <w:rsid w:val="68BE7832"/>
    <w:rsid w:val="6FA417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qFormat/>
    <w:uiPriority w:val="0"/>
    <w:pPr>
      <w:jc w:val="left"/>
    </w:pPr>
  </w:style>
  <w:style w:type="paragraph" w:styleId="3">
    <w:name w:val="Balloon Text"/>
    <w:basedOn w:val="1"/>
    <w:link w:val="15"/>
    <w:uiPriority w:val="0"/>
    <w:rPr>
      <w:sz w:val="18"/>
      <w:szCs w:val="18"/>
    </w:rPr>
  </w:style>
  <w:style w:type="paragraph" w:styleId="4">
    <w:name w:val="footer"/>
    <w:basedOn w:val="1"/>
    <w:link w:val="12"/>
    <w:uiPriority w:val="0"/>
    <w:pPr>
      <w:tabs>
        <w:tab w:val="center" w:pos="4153"/>
        <w:tab w:val="right" w:pos="8306"/>
      </w:tabs>
      <w:snapToGrid w:val="0"/>
      <w:jc w:val="left"/>
    </w:pPr>
    <w:rPr>
      <w:sz w:val="18"/>
      <w:szCs w:val="18"/>
    </w:rPr>
  </w:style>
  <w:style w:type="paragraph" w:styleId="5">
    <w:name w:val="header"/>
    <w:basedOn w:val="1"/>
    <w:link w:val="11"/>
    <w:qFormat/>
    <w:uiPriority w:val="0"/>
    <w:pPr>
      <w:tabs>
        <w:tab w:val="center" w:pos="4153"/>
        <w:tab w:val="right" w:pos="8306"/>
      </w:tabs>
      <w:snapToGrid w:val="0"/>
      <w:jc w:val="center"/>
    </w:pPr>
    <w:rPr>
      <w:sz w:val="18"/>
      <w:szCs w:val="18"/>
    </w:rPr>
  </w:style>
  <w:style w:type="paragraph" w:styleId="6">
    <w:name w:val="annotation subject"/>
    <w:basedOn w:val="2"/>
    <w:next w:val="2"/>
    <w:link w:val="14"/>
    <w:qFormat/>
    <w:uiPriority w:val="0"/>
    <w:rPr>
      <w:b/>
      <w:bCs/>
    </w:rPr>
  </w:style>
  <w:style w:type="character" w:styleId="9">
    <w:name w:val="annotation reference"/>
    <w:basedOn w:val="8"/>
    <w:uiPriority w:val="0"/>
    <w:rPr>
      <w:sz w:val="21"/>
      <w:szCs w:val="21"/>
    </w:rPr>
  </w:style>
  <w:style w:type="paragraph" w:styleId="10">
    <w:name w:val="List Paragraph"/>
    <w:basedOn w:val="1"/>
    <w:qFormat/>
    <w:uiPriority w:val="34"/>
    <w:pPr>
      <w:ind w:firstLine="420" w:firstLineChars="200"/>
    </w:pPr>
  </w:style>
  <w:style w:type="character" w:customStyle="1" w:styleId="11">
    <w:name w:val="页眉 字符"/>
    <w:basedOn w:val="8"/>
    <w:link w:val="5"/>
    <w:uiPriority w:val="0"/>
    <w:rPr>
      <w:rFonts w:ascii="Times New Roman" w:hAnsi="Times New Roman" w:eastAsia="宋体" w:cs="Times New Roman"/>
      <w:kern w:val="2"/>
      <w:sz w:val="18"/>
      <w:szCs w:val="18"/>
    </w:rPr>
  </w:style>
  <w:style w:type="character" w:customStyle="1" w:styleId="12">
    <w:name w:val="页脚 字符"/>
    <w:basedOn w:val="8"/>
    <w:link w:val="4"/>
    <w:qFormat/>
    <w:uiPriority w:val="0"/>
    <w:rPr>
      <w:rFonts w:ascii="Times New Roman" w:hAnsi="Times New Roman" w:eastAsia="宋体" w:cs="Times New Roman"/>
      <w:kern w:val="2"/>
      <w:sz w:val="18"/>
      <w:szCs w:val="18"/>
    </w:rPr>
  </w:style>
  <w:style w:type="character" w:customStyle="1" w:styleId="13">
    <w:name w:val="批注文字 字符"/>
    <w:basedOn w:val="8"/>
    <w:link w:val="2"/>
    <w:qFormat/>
    <w:uiPriority w:val="0"/>
    <w:rPr>
      <w:rFonts w:ascii="Times New Roman" w:hAnsi="Times New Roman" w:eastAsia="宋体" w:cs="Times New Roman"/>
      <w:kern w:val="2"/>
      <w:sz w:val="21"/>
      <w:szCs w:val="24"/>
    </w:rPr>
  </w:style>
  <w:style w:type="character" w:customStyle="1" w:styleId="14">
    <w:name w:val="批注主题 字符"/>
    <w:basedOn w:val="13"/>
    <w:link w:val="6"/>
    <w:uiPriority w:val="0"/>
    <w:rPr>
      <w:rFonts w:ascii="Times New Roman" w:hAnsi="Times New Roman" w:eastAsia="宋体" w:cs="Times New Roman"/>
      <w:b/>
      <w:bCs/>
      <w:kern w:val="2"/>
      <w:sz w:val="21"/>
      <w:szCs w:val="24"/>
    </w:rPr>
  </w:style>
  <w:style w:type="character" w:customStyle="1" w:styleId="15">
    <w:name w:val="批注框文本 字符"/>
    <w:basedOn w:val="8"/>
    <w:link w:val="3"/>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1140</Words>
  <Characters>1180</Characters>
  <Lines>23</Lines>
  <Paragraphs>27</Paragraphs>
  <TotalTime>2</TotalTime>
  <ScaleCrop>false</ScaleCrop>
  <LinksUpToDate>false</LinksUpToDate>
  <CharactersWithSpaces>1197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2026-01-28T01:47:00Z</dcterms:created>
  <dc:creator>Muniar</dc:creator>
  <cp:lastModifiedBy>段池</cp:lastModifiedBy>
  <dcterms:modified xsi:type="dcterms:W3CDTF">2026-01-29T08:23:04Z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2B401795116941C1B0939EED66D5B2FE_11</vt:lpwstr>
  </property>
  <property fmtid="{D5CDD505-2E9C-101B-9397-08002B2CF9AE}" pid="4" name="KSOTemplateDocerSaveRecord">
    <vt:lpwstr>eyJoZGlkIjoiMmVkMDYxNzg5YmJlZTUyODViYzkzNjVhMDVhMDUzYTYiLCJ1c2VySWQiOiIxNjg1MTkxNzc3In0=</vt:lpwstr>
  </property>
</Properties>
</file>