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BE92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一、X射线光源</w:t>
      </w:r>
    </w:p>
    <w:p w14:paraId="623C90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技术参数</w:t>
      </w:r>
    </w:p>
    <w:p w14:paraId="4890B5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1、X射线光源</w:t>
      </w:r>
    </w:p>
    <w:p w14:paraId="728D14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 靶材类型：Al靶，能量为1486.6 eV</w:t>
      </w:r>
    </w:p>
    <w:p w14:paraId="2968AB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 具备微聚焦功能，光斑大小可通过聚焦功能调节 </w:t>
      </w:r>
    </w:p>
    <w:p w14:paraId="2F837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 需兼容实验室已有的单色器，与单色器配合使用，实现单色化X射线的产生</w:t>
      </w:r>
    </w:p>
    <w:p w14:paraId="6144E0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2、X射线光源控制单元</w:t>
      </w:r>
    </w:p>
    <w:p w14:paraId="2A61C8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2.1可实现最大功率≥1 kW </w:t>
      </w:r>
    </w:p>
    <w:p w14:paraId="045E64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2.2阳极可实现最大电压≥15 kV </w:t>
      </w:r>
    </w:p>
    <w:p w14:paraId="343BE5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2.3集成电弧保护以保证阳极寿命</w:t>
      </w:r>
    </w:p>
    <w:p w14:paraId="78EAAF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2.4集成安全电子系统，保证设备运行和操作人员安全</w:t>
      </w:r>
    </w:p>
    <w:p w14:paraId="5E4A62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2.5配置与X射线光源之间所需的接线</w:t>
      </w:r>
    </w:p>
    <w:p w14:paraId="66B3E3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3、循环水冷隔离控制单元</w:t>
      </w:r>
    </w:p>
    <w:p w14:paraId="1E3A50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3.1与光源控制器单元联合使用，对X射线光源的循环冷却水的水温、流量、水压等运行状态进行控制</w:t>
      </w:r>
    </w:p>
    <w:p w14:paraId="3E2C8B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3.2可实现软件自动控制与预警提示互锁，确保水冷机开启之后再开X射线源</w:t>
      </w:r>
    </w:p>
    <w:p w14:paraId="4DED3A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3.3可测量最大工作水压范围≥10 bar</w:t>
      </w:r>
    </w:p>
    <w:p w14:paraId="20DF78F2">
      <w:pPr>
        <w:widowControl/>
        <w:spacing w:line="240" w:lineRule="auto"/>
        <w:jc w:val="left"/>
        <w:rPr>
          <w:rFonts w:ascii="Times New Roman" w:hAnsi="Times New Roman" w:cs="Times New Roman"/>
        </w:rPr>
      </w:pPr>
    </w:p>
    <w:p w14:paraId="382FA665">
      <w:pPr>
        <w:widowControl/>
        <w:spacing w:line="24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二、微聚焦紫外光源</w:t>
      </w:r>
    </w:p>
    <w:p w14:paraId="170F3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技术参数</w:t>
      </w:r>
    </w:p>
    <w:p w14:paraId="3E15F2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微聚焦紫外光源</w:t>
      </w:r>
    </w:p>
    <w:p w14:paraId="6B1156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1.1惰性气体放电型紫外光源，需兼容实验室已有的ARPES系统使用</w:t>
      </w:r>
    </w:p>
    <w:p w14:paraId="133BE1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1.2具有微聚焦光学设计，最小光斑尺寸≤100 μm</w:t>
      </w:r>
    </w:p>
    <w:p w14:paraId="7B4B61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 HeI能量光谱条件下，光通量 ≥ 1 x10</w:t>
      </w:r>
      <w:r>
        <w:rPr>
          <w:rFonts w:ascii="Times New Roman" w:hAnsi="Times New Roman" w:cs="Times New Roman"/>
          <w:vertAlign w:val="superscript"/>
        </w:rPr>
        <w:t>14</w:t>
      </w:r>
      <w:r>
        <w:rPr>
          <w:rFonts w:ascii="Times New Roman" w:hAnsi="Times New Roman" w:cs="Times New Roman"/>
        </w:rPr>
        <w:t xml:space="preserve"> photons/ s•mm</w:t>
      </w:r>
      <w:r>
        <w:rPr>
          <w:rFonts w:ascii="Times New Roman" w:hAnsi="Times New Roman" w:cs="Times New Roman"/>
          <w:vertAlign w:val="superscript"/>
        </w:rPr>
        <w:t>2</w:t>
      </w:r>
    </w:p>
    <w:p w14:paraId="15D578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1.4灯丝寿命≥5000小时 </w:t>
      </w:r>
    </w:p>
    <w:p w14:paraId="396FFF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1.5光源分辨率：半峰宽FWHM ≤ 2 meV</w:t>
      </w:r>
    </w:p>
    <w:p w14:paraId="18BA46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1.6适用于所有惰性气体，如氦气、氖气、氩气、氙气等</w:t>
      </w:r>
    </w:p>
    <w:p w14:paraId="3D2B7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微聚焦紫外光源控制单元</w:t>
      </w:r>
    </w:p>
    <w:p w14:paraId="4699E9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2.1配套紫外光源控制单元，阳极的电压可控制范围≥0 ~ 150 V，电流可控范围≥ 0 ~ 3 A</w:t>
      </w:r>
    </w:p>
    <w:p w14:paraId="19B12C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2.2灯丝工作电压可控范围: ≥0 ~ 4 V </w:t>
      </w:r>
    </w:p>
    <w:p w14:paraId="3CFB81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2.3完全通过软件控制，并集成联锁控制功能</w:t>
      </w:r>
    </w:p>
    <w:p w14:paraId="17AB59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微聚焦紫外光源进气系统</w:t>
      </w:r>
    </w:p>
    <w:p w14:paraId="2393EEDE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3.1配备高精度特高压进气阀、压力调节器 </w:t>
      </w:r>
    </w:p>
    <w:p w14:paraId="7D3F7C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3.2配备带角阀的t型件，用于清洗气体管道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716"/>
    <w:rsid w:val="0009703D"/>
    <w:rsid w:val="000E1013"/>
    <w:rsid w:val="000E4FB7"/>
    <w:rsid w:val="001C5799"/>
    <w:rsid w:val="003A5EB9"/>
    <w:rsid w:val="004007C2"/>
    <w:rsid w:val="00405F33"/>
    <w:rsid w:val="00427B34"/>
    <w:rsid w:val="00594445"/>
    <w:rsid w:val="005E6409"/>
    <w:rsid w:val="00790010"/>
    <w:rsid w:val="00D73716"/>
    <w:rsid w:val="00DF322F"/>
    <w:rsid w:val="00E118A5"/>
    <w:rsid w:val="00E278F5"/>
    <w:rsid w:val="00F10AF6"/>
    <w:rsid w:val="00F808D7"/>
    <w:rsid w:val="7E3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  <w14:ligatures w14:val="standardContextual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  <w14:ligatures w14:val="none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  <w14:ligatures w14:val="none"/>
    </w:rPr>
  </w:style>
  <w:style w:type="paragraph" w:styleId="6">
    <w:name w:val="annotation subject"/>
    <w:basedOn w:val="2"/>
    <w:next w:val="2"/>
    <w:link w:val="13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uiPriority w:val="99"/>
    <w:rPr>
      <w:sz w:val="21"/>
      <w:szCs w:val="21"/>
    </w:rPr>
  </w:style>
  <w:style w:type="character" w:customStyle="1" w:styleId="10">
    <w:name w:val="页眉 Char"/>
    <w:basedOn w:val="8"/>
    <w:link w:val="5"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uiPriority w:val="99"/>
    <w:rPr>
      <w:sz w:val="18"/>
      <w:szCs w:val="18"/>
    </w:rPr>
  </w:style>
  <w:style w:type="character" w:customStyle="1" w:styleId="12">
    <w:name w:val="批注文字 Char"/>
    <w:basedOn w:val="8"/>
    <w:link w:val="2"/>
    <w:semiHidden/>
    <w:uiPriority w:val="99"/>
    <w:rPr>
      <w:sz w:val="24"/>
      <w14:ligatures w14:val="standardContextual"/>
    </w:rPr>
  </w:style>
  <w:style w:type="character" w:customStyle="1" w:styleId="13">
    <w:name w:val="批注主题 Char"/>
    <w:basedOn w:val="12"/>
    <w:link w:val="6"/>
    <w:semiHidden/>
    <w:qFormat/>
    <w:uiPriority w:val="99"/>
    <w:rPr>
      <w:b/>
      <w:bCs/>
      <w:sz w:val="24"/>
      <w14:ligatures w14:val="standardContextual"/>
    </w:rPr>
  </w:style>
  <w:style w:type="character" w:customStyle="1" w:styleId="14">
    <w:name w:val="批注框文本 Char"/>
    <w:basedOn w:val="8"/>
    <w:link w:val="3"/>
    <w:semiHidden/>
    <w:qFormat/>
    <w:uiPriority w:val="99"/>
    <w:rPr>
      <w:sz w:val="18"/>
      <w:szCs w:val="18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542</Words>
  <Characters>654</Characters>
  <Lines>5</Lines>
  <Paragraphs>1</Paragraphs>
  <TotalTime>252</TotalTime>
  <ScaleCrop>false</ScaleCrop>
  <LinksUpToDate>false</LinksUpToDate>
  <CharactersWithSpaces>692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2025-11-10T09:29:00Z</dcterms:created>
  <dc:creator>Xie Haipeng</dc:creator>
  <cp:lastModifiedBy>段池</cp:lastModifiedBy>
  <dcterms:modified xsi:type="dcterms:W3CDTF">2026-01-23T03:32:48Z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2B91E69DF0EF402E9765B0659F829984_12</vt:lpwstr>
  </property>
</Properties>
</file>