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B64289">
      <w:pPr>
        <w:numPr>
          <w:ilvl w:val="0"/>
          <w:numId w:val="1"/>
        </w:numPr>
        <w:spacing w:line="360" w:lineRule="auto"/>
        <w:ind w:firstLine="482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供货周期</w:t>
      </w:r>
      <w:r>
        <w:rPr>
          <w:rFonts w:hint="eastAsia" w:ascii="仿宋" w:hAnsi="仿宋" w:eastAsia="仿宋" w:cs="仿宋"/>
          <w:sz w:val="24"/>
        </w:rPr>
        <w:t>：</w:t>
      </w:r>
      <w:r>
        <w:rPr>
          <w:rFonts w:hint="eastAsia" w:ascii="仿宋" w:hAnsi="仿宋" w:eastAsia="仿宋" w:cs="仿宋"/>
          <w:kern w:val="0"/>
          <w:szCs w:val="21"/>
        </w:rPr>
        <w:t>合同签订后</w:t>
      </w:r>
      <w:r>
        <w:rPr>
          <w:rFonts w:ascii="仿宋" w:hAnsi="仿宋" w:eastAsia="仿宋" w:cs="仿宋"/>
          <w:kern w:val="0"/>
          <w:szCs w:val="21"/>
        </w:rPr>
        <w:t>15</w:t>
      </w:r>
      <w:r>
        <w:rPr>
          <w:rFonts w:hint="eastAsia" w:ascii="仿宋" w:hAnsi="仿宋" w:eastAsia="仿宋" w:cs="仿宋"/>
          <w:kern w:val="0"/>
          <w:szCs w:val="21"/>
        </w:rPr>
        <w:t>个工作日内</w:t>
      </w:r>
    </w:p>
    <w:p w14:paraId="573C35D2">
      <w:pPr>
        <w:numPr>
          <w:ilvl w:val="0"/>
          <w:numId w:val="1"/>
        </w:numPr>
        <w:spacing w:line="360" w:lineRule="auto"/>
        <w:ind w:firstLine="482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供货地点</w:t>
      </w:r>
      <w:r>
        <w:rPr>
          <w:rFonts w:hint="eastAsia" w:ascii="仿宋" w:hAnsi="仿宋" w:eastAsia="仿宋" w:cs="仿宋"/>
          <w:sz w:val="24"/>
        </w:rPr>
        <w:t>：中南大学</w:t>
      </w:r>
      <w:bookmarkStart w:id="0" w:name="_GoBack"/>
      <w:bookmarkEnd w:id="0"/>
    </w:p>
    <w:p w14:paraId="3374FE42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3、</w:t>
      </w:r>
      <w:r>
        <w:rPr>
          <w:rFonts w:hint="eastAsia" w:ascii="仿宋" w:hAnsi="仿宋" w:eastAsia="仿宋" w:cs="仿宋"/>
          <w:b/>
          <w:bCs/>
          <w:sz w:val="24"/>
        </w:rPr>
        <w:t>质保期：</w:t>
      </w:r>
    </w:p>
    <w:p w14:paraId="4D942CC8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3.1、质保期至少</w:t>
      </w:r>
      <w:r>
        <w:rPr>
          <w:rFonts w:ascii="仿宋" w:hAnsi="仿宋" w:eastAsia="仿宋" w:cs="仿宋"/>
          <w:sz w:val="24"/>
        </w:rPr>
        <w:t>5</w:t>
      </w:r>
      <w:r>
        <w:rPr>
          <w:rFonts w:hint="eastAsia" w:ascii="仿宋" w:hAnsi="仿宋" w:eastAsia="仿宋" w:cs="仿宋"/>
          <w:sz w:val="24"/>
        </w:rPr>
        <w:t>年，保修期自货物验收合格后，采购人及中标人双方代表在项目验收单上签字之日起计算。所有设备的包换和包修服务遵从国家三包规定，并提供终身跟踪服务；保修期自采购人及中标人双方代表在设备验收单上签字之日起计算。中标人承诺的质保期长于招标文件规定时，以中标人的投标文件为准。</w:t>
      </w:r>
    </w:p>
    <w:p w14:paraId="6D3CAD29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3.2、设备在质量保证期内中标人实行全免费保修、包换、包退服务；保修期内，若需要上门服务，由此产生的费用均由中标人自行承担。中标人应具有相应的售后服务能力，包括拥有相应的设备和人员。在保修期内，中标人应有可随时上门进行维修及检测的工程师。</w:t>
      </w:r>
    </w:p>
    <w:p w14:paraId="0116E7BB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3.3、保修期内采购人所购设备各部件发生非人为故障，中标人应及时免费上门更换同种品牌规格型号的新部件，设备发生人为故障的，中标人应及时免费上门更换同种品牌规格型号的新部件，只收零配件成本，不加收其它任何费用。</w:t>
      </w:r>
    </w:p>
    <w:p w14:paraId="07AFE1B4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3.4、中标人7×24 小时免费提供上门售后服务（含3年操作系统），永久性免费提供电话技术指导和咨询服务。</w:t>
      </w:r>
    </w:p>
    <w:p w14:paraId="75417354">
      <w:pPr>
        <w:spacing w:line="360" w:lineRule="auto"/>
        <w:ind w:firstLine="480" w:firstLineChars="200"/>
        <w:jc w:val="left"/>
        <w:rPr>
          <w:rFonts w:ascii="仿宋" w:hAnsi="仿宋" w:cs="仿宋"/>
          <w:sz w:val="24"/>
          <w:highlight w:val="yellow"/>
        </w:rPr>
      </w:pPr>
      <w:r>
        <w:rPr>
          <w:rFonts w:hint="eastAsia" w:ascii="仿宋" w:hAnsi="仿宋" w:eastAsia="仿宋" w:cs="仿宋"/>
          <w:sz w:val="24"/>
        </w:rPr>
        <w:t>4、</w:t>
      </w:r>
      <w:r>
        <w:rPr>
          <w:rFonts w:hint="eastAsia" w:ascii="仿宋" w:hAnsi="仿宋" w:eastAsia="仿宋" w:cs="仿宋"/>
          <w:b/>
          <w:bCs/>
          <w:sz w:val="24"/>
        </w:rPr>
        <w:t>履约保证金（如有）</w:t>
      </w:r>
      <w:r>
        <w:rPr>
          <w:rFonts w:hint="eastAsia" w:ascii="仿宋" w:hAnsi="仿宋" w:eastAsia="仿宋" w:cs="仿宋"/>
          <w:sz w:val="24"/>
        </w:rPr>
        <w:t>：10%</w:t>
      </w:r>
    </w:p>
    <w:p w14:paraId="0BD74A71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5、</w:t>
      </w:r>
      <w:r>
        <w:rPr>
          <w:rFonts w:hint="eastAsia" w:ascii="仿宋" w:hAnsi="仿宋" w:eastAsia="仿宋" w:cs="仿宋"/>
          <w:b/>
          <w:bCs/>
          <w:sz w:val="24"/>
        </w:rPr>
        <w:t>付款周期及比例</w:t>
      </w:r>
      <w:r>
        <w:rPr>
          <w:rFonts w:hint="eastAsia" w:ascii="仿宋" w:hAnsi="仿宋" w:eastAsia="仿宋" w:cs="仿宋"/>
          <w:sz w:val="24"/>
        </w:rPr>
        <w:t>：</w:t>
      </w:r>
    </w:p>
    <w:p w14:paraId="6D245FB2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5.1 付款人：中南大学</w:t>
      </w:r>
    </w:p>
    <w:p w14:paraId="04F3BD2A">
      <w:pPr>
        <w:pStyle w:val="2"/>
        <w:spacing w:line="400" w:lineRule="exact"/>
        <w:ind w:firstLine="468" w:firstLineChars="200"/>
        <w:rPr>
          <w:lang w:val="en-US" w:eastAsia="zh-CN"/>
        </w:rPr>
      </w:pPr>
      <w:r>
        <w:rPr>
          <w:rFonts w:hint="eastAsia" w:ascii="仿宋" w:hAnsi="仿宋" w:eastAsia="仿宋" w:cs="仿宋"/>
          <w:lang w:eastAsia="zh-CN"/>
        </w:rPr>
        <w:t>5.2 付款方式：</w:t>
      </w:r>
      <w:r>
        <w:rPr>
          <w:rFonts w:hint="eastAsia" w:ascii="仿宋" w:hAnsi="仿宋" w:eastAsia="仿宋" w:cs="仿宋"/>
          <w:spacing w:val="0"/>
          <w:szCs w:val="24"/>
          <w:lang w:val="en-US" w:eastAsia="zh-CN"/>
        </w:rPr>
        <w:t>合同签订后乙方应向甲方账户缴纳合同金额10 %作</w:t>
      </w:r>
      <w:r>
        <w:rPr>
          <w:rFonts w:hint="eastAsia"/>
          <w:lang w:val="en-US" w:eastAsia="zh-CN"/>
        </w:rPr>
        <w:t>履约保证金</w:t>
      </w:r>
      <w:r>
        <w:rPr>
          <w:rFonts w:hint="eastAsia" w:ascii="仿宋" w:hAnsi="仿宋" w:eastAsia="仿宋" w:cs="仿宋"/>
          <w:spacing w:val="0"/>
          <w:szCs w:val="24"/>
          <w:lang w:val="en-US" w:eastAsia="zh-CN"/>
        </w:rPr>
        <w:t>，之后</w:t>
      </w:r>
      <w:r>
        <w:rPr>
          <w:rFonts w:ascii="仿宋" w:hAnsi="仿宋" w:eastAsia="仿宋" w:cs="仿宋"/>
          <w:spacing w:val="0"/>
          <w:szCs w:val="24"/>
          <w:lang w:val="en-US" w:eastAsia="zh-CN"/>
        </w:rPr>
        <w:t>15</w:t>
      </w:r>
      <w:r>
        <w:rPr>
          <w:rFonts w:hint="eastAsia" w:ascii="仿宋" w:hAnsi="仿宋" w:eastAsia="仿宋" w:cs="仿宋"/>
          <w:spacing w:val="0"/>
          <w:szCs w:val="24"/>
          <w:lang w:val="en-US" w:eastAsia="zh-CN"/>
        </w:rPr>
        <w:t>个工作日内，甲方支付合同金额30%作预付款；货到甲方指定地点并经验收合格后，甲方凭借乙方开具的增值税专用发票，向乙方支付70%货款。</w:t>
      </w:r>
      <w:r>
        <w:rPr>
          <w:rFonts w:hint="eastAsia"/>
          <w:lang w:val="en-US" w:eastAsia="zh-CN"/>
        </w:rPr>
        <w:t>履约保证金</w:t>
      </w:r>
      <w:r>
        <w:rPr>
          <w:rFonts w:hint="eastAsia" w:ascii="仿宋" w:hAnsi="仿宋" w:eastAsia="仿宋" w:cs="仿宋"/>
          <w:spacing w:val="0"/>
          <w:szCs w:val="24"/>
          <w:lang w:val="en-US" w:eastAsia="zh-CN"/>
        </w:rPr>
        <w:t>在验收合格之日起2年后退回，</w:t>
      </w:r>
      <w:r>
        <w:rPr>
          <w:rFonts w:hint="eastAsia"/>
          <w:lang w:val="en-US" w:eastAsia="zh-CN"/>
        </w:rPr>
        <w:t>履约保证金</w:t>
      </w:r>
      <w:r>
        <w:rPr>
          <w:rFonts w:hint="eastAsia" w:ascii="仿宋" w:hAnsi="仿宋" w:eastAsia="仿宋" w:cs="仿宋"/>
          <w:spacing w:val="0"/>
          <w:szCs w:val="24"/>
          <w:lang w:val="en-US" w:eastAsia="zh-CN"/>
        </w:rPr>
        <w:t>不计利息。</w:t>
      </w:r>
    </w:p>
    <w:p w14:paraId="3DA072DD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5.3 本项目为交钥匙工程，投标人的投标报价中包含完成本项目所需的费用，含运输、税费、安装调试、验收等一切费用。投标人应根据项目要求和现场情况，详细列明项目所需的设备及材料购置，以及产品运输保险保管、税费、项目安装调试通过验收、培训、质保期免费保修维护等所有人工、管理、财务等所有费用，如一旦中标，在项目实施中出现任何遗漏，均由中标人免费提供，采购人不再支付任何费用。</w:t>
      </w:r>
    </w:p>
    <w:p w14:paraId="25DEEC24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6、</w:t>
      </w:r>
      <w:r>
        <w:rPr>
          <w:rFonts w:hint="eastAsia" w:ascii="仿宋" w:hAnsi="仿宋" w:eastAsia="仿宋" w:cs="仿宋"/>
          <w:b/>
          <w:bCs/>
          <w:sz w:val="24"/>
        </w:rPr>
        <w:t>培训内容及要求</w:t>
      </w:r>
      <w:r>
        <w:rPr>
          <w:rFonts w:hint="eastAsia" w:ascii="仿宋" w:hAnsi="仿宋" w:eastAsia="仿宋" w:cs="仿宋"/>
          <w:sz w:val="24"/>
        </w:rPr>
        <w:t>：中标人负责按签订合同的具体时间将所有产品运送到最终目的地，且由专业技术人员负责所有产品的系统安装、调试、试运行，经最终验收合格后，交付采购人使用。</w:t>
      </w:r>
    </w:p>
    <w:p w14:paraId="0A747183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中标人且就设备的安装、调试、操作、维修、保养等对买方维修技术人员进行培训。设备安装调试完毕后，中标人对买方操作人员进行现场培训，直至买方的技术人员能独立操作，同时能完成一般常见故障的维修工作。</w:t>
      </w:r>
    </w:p>
    <w:p w14:paraId="3186ABDD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7、</w:t>
      </w:r>
      <w:r>
        <w:rPr>
          <w:rFonts w:hint="eastAsia" w:ascii="仿宋" w:hAnsi="仿宋" w:eastAsia="仿宋" w:cs="仿宋"/>
          <w:b/>
          <w:bCs/>
          <w:sz w:val="24"/>
        </w:rPr>
        <w:t>售后服务内容及要求</w:t>
      </w:r>
      <w:r>
        <w:rPr>
          <w:rFonts w:hint="eastAsia" w:ascii="仿宋" w:hAnsi="仿宋" w:eastAsia="仿宋" w:cs="仿宋"/>
          <w:sz w:val="24"/>
        </w:rPr>
        <w:t>：质保期内，凡出现任何非人为破坏或自然灾害等不可抗力所致的质量问题，中标人须负责全免费（免收全部工时费、材料费、管理费、财务费等）更换或维修。质保期满后，中标人应及时以优惠价格提供所需的备品备件。设备需在现场安装专业计算软件，并支持远程访问部署。机器必须为原装、原封、未拆封正品。中标人须负责将新机器部署至高性计算集群，纳入集群监控系统，并为其配置分布式共享存储。同时，须配备原厂商专业工程师提供为期5年的硬件及软件免费技术服务，解决新节点运行中的各类问题。为保障后续计算稳定性，中标人还需安排原厂工程师上门完成安装调试服务。上述所有软件费、辅助材料费、人工费及交通费等均由中标人承担。</w:t>
      </w:r>
    </w:p>
    <w:p w14:paraId="38AB1FDE">
      <w:pPr>
        <w:pStyle w:val="2"/>
        <w:rPr>
          <w:rFonts w:ascii="仿宋" w:hAnsi="仿宋" w:eastAsia="仿宋" w:cs="仿宋"/>
          <w:lang w:val="en-US" w:eastAsia="zh-CN"/>
        </w:rPr>
      </w:pPr>
    </w:p>
    <w:p w14:paraId="1614794C">
      <w:pPr>
        <w:pStyle w:val="2"/>
        <w:rPr>
          <w:rFonts w:ascii="仿宋" w:hAnsi="仿宋" w:eastAsia="仿宋" w:cs="仿宋"/>
          <w:lang w:val="en-US" w:eastAsia="zh-CN"/>
        </w:rPr>
      </w:pPr>
    </w:p>
    <w:p w14:paraId="76F46E1A">
      <w:pPr>
        <w:pStyle w:val="2"/>
        <w:rPr>
          <w:rFonts w:ascii="仿宋" w:hAnsi="仿宋" w:eastAsia="仿宋" w:cs="仿宋"/>
          <w:lang w:val="en-US" w:eastAsia="zh-CN"/>
        </w:rPr>
      </w:pPr>
    </w:p>
    <w:p w14:paraId="3738747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3FB1D1D"/>
    <w:multiLevelType w:val="singleLevel"/>
    <w:tmpl w:val="F3FB1D1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Q4N2E5ZWUxZmZiNTg0Y2Q3N2YwZGZiMzJhNDM3NjUifQ=="/>
  </w:docVars>
  <w:rsids>
    <w:rsidRoot w:val="72222568"/>
    <w:rsid w:val="004546FD"/>
    <w:rsid w:val="004B0253"/>
    <w:rsid w:val="00502DE7"/>
    <w:rsid w:val="0071507A"/>
    <w:rsid w:val="007246AD"/>
    <w:rsid w:val="00727A88"/>
    <w:rsid w:val="009A3A28"/>
    <w:rsid w:val="00CA1D14"/>
    <w:rsid w:val="00F94116"/>
    <w:rsid w:val="01D66BD7"/>
    <w:rsid w:val="07991612"/>
    <w:rsid w:val="0C7D75A8"/>
    <w:rsid w:val="1F753767"/>
    <w:rsid w:val="2FE3618F"/>
    <w:rsid w:val="3B485A96"/>
    <w:rsid w:val="4E0500B8"/>
    <w:rsid w:val="4F98123A"/>
    <w:rsid w:val="50295117"/>
    <w:rsid w:val="54670713"/>
    <w:rsid w:val="57116E04"/>
    <w:rsid w:val="57E76A29"/>
    <w:rsid w:val="6A637D4C"/>
    <w:rsid w:val="6FBB7970"/>
    <w:rsid w:val="72222568"/>
    <w:rsid w:val="754D791F"/>
    <w:rsid w:val="75F1669B"/>
    <w:rsid w:val="76D52EDE"/>
    <w:rsid w:val="791F2D11"/>
    <w:rsid w:val="79913601"/>
    <w:rsid w:val="7F385167"/>
    <w:rsid w:val="B2BD8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/>
      <w:b/>
      <w:bCs/>
      <w:sz w:val="24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Style1"/>
    <w:basedOn w:val="1"/>
    <w:autoRedefine/>
    <w:qFormat/>
    <w:uiPriority w:val="0"/>
    <w:pPr>
      <w:widowControl/>
      <w:tabs>
        <w:tab w:val="left" w:pos="-720"/>
      </w:tabs>
      <w:spacing w:after="120"/>
    </w:pPr>
    <w:rPr>
      <w:spacing w:val="-3"/>
      <w:kern w:val="0"/>
      <w:sz w:val="24"/>
      <w:szCs w:val="20"/>
      <w:lang w:val="en-AU" w:eastAsia="en-US"/>
    </w:rPr>
  </w:style>
  <w:style w:type="paragraph" w:styleId="4">
    <w:name w:val="Normal Indent"/>
    <w:basedOn w:val="1"/>
    <w:next w:val="1"/>
    <w:autoRedefine/>
    <w:qFormat/>
    <w:uiPriority w:val="0"/>
    <w:pPr>
      <w:widowControl/>
      <w:ind w:firstLine="420"/>
      <w:jc w:val="left"/>
    </w:pPr>
    <w:rPr>
      <w:kern w:val="0"/>
      <w:sz w:val="20"/>
      <w:szCs w:val="20"/>
    </w:rPr>
  </w:style>
  <w:style w:type="paragraph" w:styleId="5">
    <w:name w:val="annotation text"/>
    <w:basedOn w:val="1"/>
    <w:link w:val="15"/>
    <w:autoRedefine/>
    <w:qFormat/>
    <w:uiPriority w:val="0"/>
    <w:pPr>
      <w:jc w:val="left"/>
    </w:pPr>
  </w:style>
  <w:style w:type="paragraph" w:styleId="6">
    <w:name w:val="Body Text"/>
    <w:basedOn w:val="1"/>
    <w:next w:val="1"/>
    <w:autoRedefine/>
    <w:qFormat/>
    <w:uiPriority w:val="0"/>
    <w:pPr>
      <w:spacing w:after="120"/>
    </w:pPr>
    <w:rPr>
      <w:kern w:val="0"/>
      <w:sz w:val="20"/>
    </w:rPr>
  </w:style>
  <w:style w:type="paragraph" w:styleId="7">
    <w:name w:val="Body Text Indent"/>
    <w:basedOn w:val="1"/>
    <w:autoRedefine/>
    <w:qFormat/>
    <w:uiPriority w:val="0"/>
    <w:pPr>
      <w:spacing w:after="120"/>
      <w:ind w:left="200" w:leftChars="200"/>
    </w:pPr>
  </w:style>
  <w:style w:type="paragraph" w:styleId="8">
    <w:name w:val="Balloon Text"/>
    <w:basedOn w:val="1"/>
    <w:link w:val="17"/>
    <w:autoRedefine/>
    <w:qFormat/>
    <w:uiPriority w:val="0"/>
    <w:rPr>
      <w:sz w:val="18"/>
      <w:szCs w:val="18"/>
    </w:rPr>
  </w:style>
  <w:style w:type="paragraph" w:styleId="9">
    <w:name w:val="annotation subject"/>
    <w:basedOn w:val="5"/>
    <w:next w:val="5"/>
    <w:link w:val="16"/>
    <w:autoRedefine/>
    <w:qFormat/>
    <w:uiPriority w:val="0"/>
    <w:rPr>
      <w:b/>
      <w:bCs/>
    </w:rPr>
  </w:style>
  <w:style w:type="paragraph" w:styleId="10">
    <w:name w:val="Body Text First Indent 2"/>
    <w:basedOn w:val="7"/>
    <w:next w:val="4"/>
    <w:autoRedefine/>
    <w:qFormat/>
    <w:uiPriority w:val="0"/>
    <w:pPr>
      <w:ind w:firstLine="200" w:firstLineChars="200"/>
    </w:pPr>
  </w:style>
  <w:style w:type="character" w:styleId="13">
    <w:name w:val="annotation reference"/>
    <w:basedOn w:val="12"/>
    <w:autoRedefine/>
    <w:qFormat/>
    <w:uiPriority w:val="0"/>
    <w:rPr>
      <w:sz w:val="21"/>
      <w:szCs w:val="21"/>
    </w:rPr>
  </w:style>
  <w:style w:type="paragraph" w:customStyle="1" w:styleId="14">
    <w:name w:val="正文无缩进"/>
    <w:autoRedefine/>
    <w:qFormat/>
    <w:uiPriority w:val="0"/>
    <w:pPr>
      <w:widowControl w:val="0"/>
      <w:snapToGrid w:val="0"/>
      <w:spacing w:before="120" w:line="300" w:lineRule="auto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character" w:customStyle="1" w:styleId="15">
    <w:name w:val="批注文字 字符"/>
    <w:basedOn w:val="12"/>
    <w:link w:val="5"/>
    <w:autoRedefine/>
    <w:qFormat/>
    <w:uiPriority w:val="0"/>
    <w:rPr>
      <w:rFonts w:ascii="Times New Roman" w:hAnsi="Times New Roman" w:eastAsia="宋体" w:cs="Times New Roman"/>
      <w:kern w:val="2"/>
      <w:sz w:val="21"/>
      <w:szCs w:val="24"/>
    </w:rPr>
  </w:style>
  <w:style w:type="character" w:customStyle="1" w:styleId="16">
    <w:name w:val="批注主题 字符"/>
    <w:basedOn w:val="15"/>
    <w:link w:val="9"/>
    <w:autoRedefine/>
    <w:qFormat/>
    <w:uiPriority w:val="0"/>
    <w:rPr>
      <w:rFonts w:ascii="Times New Roman" w:hAnsi="Times New Roman" w:eastAsia="宋体" w:cs="Times New Roman"/>
      <w:b/>
      <w:bCs/>
      <w:kern w:val="2"/>
      <w:sz w:val="21"/>
      <w:szCs w:val="24"/>
    </w:rPr>
  </w:style>
  <w:style w:type="character" w:customStyle="1" w:styleId="17">
    <w:name w:val="批注框文本 字符"/>
    <w:basedOn w:val="12"/>
    <w:link w:val="8"/>
    <w:autoRedefine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1271</Words>
  <Characters>1297</Characters>
  <Lines>9</Lines>
  <Paragraphs>2</Paragraphs>
  <TotalTime>23</TotalTime>
  <ScaleCrop>false</ScaleCrop>
  <LinksUpToDate>false</LinksUpToDate>
  <CharactersWithSpaces>1302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2023-04-14T09:17:00Z</dcterms:created>
  <dc:creator>张腾飞</dc:creator>
  <cp:lastModifiedBy>张帅磊</cp:lastModifiedBy>
  <dcterms:modified xsi:type="dcterms:W3CDTF">2026-04-22T07:13:12Z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B5A372DA482B44658294C52E9E933401_13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