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540168">
      <w:pPr>
        <w:jc w:val="center"/>
        <w:rPr>
          <w:rFonts w:hint="eastAsia" w:asciiTheme="minorEastAsia" w:hAnsiTheme="minorEastAsia" w:eastAsiaTheme="minorEastAsia" w:cstheme="minorEastAsia"/>
          <w:b/>
          <w:bCs/>
          <w:kern w:val="0"/>
          <w:sz w:val="44"/>
          <w:szCs w:val="44"/>
          <w:lang w:bidi="ar"/>
        </w:rPr>
      </w:pPr>
      <w:r>
        <w:rPr>
          <w:rFonts w:hint="eastAsia" w:cs="宋体" w:asciiTheme="minorEastAsia" w:hAnsiTheme="minorEastAsia" w:eastAsiaTheme="minorEastAsia"/>
          <w:b/>
          <w:bCs/>
          <w:sz w:val="44"/>
          <w:szCs w:val="44"/>
        </w:rPr>
        <w:t>减温减压器采购</w:t>
      </w:r>
      <w:r>
        <w:rPr>
          <w:rFonts w:hint="eastAsia" w:asciiTheme="minorEastAsia" w:hAnsiTheme="minorEastAsia" w:eastAsiaTheme="minorEastAsia" w:cstheme="minorEastAsia"/>
          <w:b/>
          <w:bCs/>
          <w:kern w:val="0"/>
          <w:sz w:val="44"/>
          <w:szCs w:val="44"/>
          <w:lang w:bidi="ar"/>
        </w:rPr>
        <w:t>项目</w:t>
      </w:r>
    </w:p>
    <w:p w14:paraId="19C6A1B0">
      <w:pPr>
        <w:jc w:val="center"/>
        <w:rPr>
          <w:rFonts w:cs="宋体"/>
          <w:b/>
          <w:sz w:val="28"/>
          <w:szCs w:val="28"/>
        </w:rPr>
      </w:pPr>
      <w:r>
        <w:rPr>
          <w:rFonts w:hint="eastAsia" w:cs="宋体"/>
          <w:b/>
          <w:sz w:val="28"/>
          <w:szCs w:val="28"/>
        </w:rPr>
        <w:t xml:space="preserve"> 技术要求</w:t>
      </w:r>
    </w:p>
    <w:p w14:paraId="7435AB89">
      <w:pPr>
        <w:pStyle w:val="2"/>
        <w:spacing w:before="156" w:beforeLines="50" w:after="156" w:afterLines="50" w:line="360" w:lineRule="auto"/>
        <w:ind w:left="369" w:hanging="369"/>
        <w:rPr>
          <w:rFonts w:ascii="Times New Roman" w:hAnsi="Times New Roman" w:eastAsia="宋体" w:cs="宋体"/>
          <w:b/>
          <w:color w:val="auto"/>
          <w:sz w:val="28"/>
          <w:szCs w:val="28"/>
        </w:rPr>
      </w:pPr>
      <w:bookmarkStart w:id="0" w:name="_Toc4667"/>
      <w:r>
        <w:rPr>
          <w:rFonts w:hint="eastAsia" w:ascii="Times New Roman" w:hAnsi="Times New Roman" w:eastAsia="宋体" w:cs="宋体"/>
          <w:b/>
          <w:color w:val="auto"/>
          <w:sz w:val="28"/>
          <w:szCs w:val="28"/>
        </w:rPr>
        <w:t>1.基本要求</w:t>
      </w:r>
      <w:bookmarkEnd w:id="0"/>
    </w:p>
    <w:p w14:paraId="4A02955D">
      <w:pPr>
        <w:pStyle w:val="35"/>
        <w:numPr>
          <w:ilvl w:val="1"/>
          <w:numId w:val="0"/>
        </w:numPr>
        <w:spacing w:line="360" w:lineRule="auto"/>
        <w:rPr>
          <w:rFonts w:hint="eastAsia" w:ascii="宋体" w:hAnsi="宋体"/>
          <w:sz w:val="24"/>
        </w:rPr>
      </w:pPr>
      <w:r>
        <w:rPr>
          <w:rFonts w:hint="eastAsia" w:ascii="宋体" w:hAnsi="宋体"/>
          <w:sz w:val="24"/>
        </w:rPr>
        <w:t>1</w:t>
      </w:r>
      <w:r>
        <w:rPr>
          <w:rFonts w:ascii="宋体" w:hAnsi="宋体"/>
          <w:sz w:val="24"/>
        </w:rPr>
        <w:t>.1</w:t>
      </w:r>
      <w:r>
        <w:rPr>
          <w:rFonts w:hint="eastAsia" w:ascii="宋体" w:hAnsi="宋体"/>
          <w:sz w:val="24"/>
        </w:rPr>
        <w:t>本技术附件提出了标的物的功能设计、结构、性能、资料交付、售后服务等方面的技术要求。</w:t>
      </w:r>
    </w:p>
    <w:p w14:paraId="6028EE85">
      <w:pPr>
        <w:pStyle w:val="35"/>
        <w:numPr>
          <w:ilvl w:val="1"/>
          <w:numId w:val="0"/>
        </w:numPr>
        <w:spacing w:line="360" w:lineRule="auto"/>
        <w:rPr>
          <w:rFonts w:hint="eastAsia" w:ascii="宋体" w:hAnsi="宋体"/>
          <w:sz w:val="24"/>
        </w:rPr>
      </w:pPr>
      <w:r>
        <w:rPr>
          <w:rFonts w:hint="eastAsia" w:ascii="宋体" w:hAnsi="宋体"/>
          <w:sz w:val="24"/>
        </w:rPr>
        <w:t>1</w:t>
      </w:r>
      <w:r>
        <w:rPr>
          <w:rFonts w:ascii="宋体" w:hAnsi="宋体"/>
          <w:sz w:val="24"/>
        </w:rPr>
        <w:t>.2</w:t>
      </w:r>
      <w:r>
        <w:rPr>
          <w:rFonts w:hint="eastAsia" w:ascii="宋体" w:hAnsi="宋体"/>
          <w:sz w:val="24"/>
        </w:rPr>
        <w:t>投标方提供的设备应保证功能完整、技术满足要求，并能满足人身安全、劳动保护、环保和节能要求。</w:t>
      </w:r>
    </w:p>
    <w:p w14:paraId="1D534713">
      <w:pPr>
        <w:pStyle w:val="35"/>
        <w:numPr>
          <w:ilvl w:val="1"/>
          <w:numId w:val="0"/>
        </w:numPr>
        <w:spacing w:line="360" w:lineRule="auto"/>
        <w:rPr>
          <w:rFonts w:hint="eastAsia" w:ascii="宋体" w:hAnsi="宋体"/>
          <w:sz w:val="24"/>
        </w:rPr>
      </w:pPr>
      <w:r>
        <w:rPr>
          <w:rFonts w:hint="eastAsia" w:ascii="宋体" w:hAnsi="宋体"/>
          <w:sz w:val="24"/>
        </w:rPr>
        <w:t>1</w:t>
      </w:r>
      <w:r>
        <w:rPr>
          <w:rFonts w:ascii="宋体" w:hAnsi="宋体"/>
          <w:sz w:val="24"/>
        </w:rPr>
        <w:t>.3</w:t>
      </w:r>
      <w:r>
        <w:rPr>
          <w:rFonts w:hint="eastAsia" w:ascii="宋体" w:hAnsi="宋体"/>
          <w:sz w:val="24"/>
        </w:rPr>
        <w:t>所有零部件均须正确设计和制造，在正常工况下均能安全、持续运行。没有过度的应力、振动、温升、磨损、腐蚀、老化等问题。</w:t>
      </w:r>
    </w:p>
    <w:p w14:paraId="1EDA66D1">
      <w:pPr>
        <w:pStyle w:val="35"/>
        <w:numPr>
          <w:ilvl w:val="1"/>
          <w:numId w:val="0"/>
        </w:numPr>
        <w:spacing w:line="360" w:lineRule="auto"/>
        <w:rPr>
          <w:rFonts w:hint="eastAsia" w:ascii="宋体" w:hAnsi="宋体"/>
          <w:sz w:val="24"/>
        </w:rPr>
      </w:pPr>
      <w:r>
        <w:rPr>
          <w:rFonts w:hint="eastAsia" w:ascii="宋体" w:hAnsi="宋体"/>
          <w:sz w:val="24"/>
        </w:rPr>
        <w:t>1</w:t>
      </w:r>
      <w:r>
        <w:rPr>
          <w:rFonts w:ascii="宋体" w:hAnsi="宋体"/>
          <w:sz w:val="24"/>
        </w:rPr>
        <w:t>.4</w:t>
      </w:r>
      <w:r>
        <w:rPr>
          <w:rFonts w:hint="eastAsia" w:ascii="宋体" w:hAnsi="宋体"/>
          <w:sz w:val="24"/>
        </w:rPr>
        <w:t>投标方提供的所有技术文件内容和产品图样，除非在签订的技术协议中另作规定外，均应使用中国的相应国家标准、各行业标准、国际标准化组织标准和/或其它先进国际标准。计量单位采用中国法定计量单位。</w:t>
      </w:r>
    </w:p>
    <w:p w14:paraId="3BA71B45">
      <w:pPr>
        <w:pStyle w:val="35"/>
        <w:numPr>
          <w:ilvl w:val="1"/>
          <w:numId w:val="0"/>
        </w:numPr>
        <w:spacing w:line="360" w:lineRule="auto"/>
        <w:rPr>
          <w:rFonts w:hint="eastAsia" w:ascii="宋体" w:hAnsi="宋体"/>
          <w:sz w:val="24"/>
        </w:rPr>
      </w:pPr>
      <w:r>
        <w:rPr>
          <w:rFonts w:hint="eastAsia" w:ascii="宋体" w:hAnsi="宋体"/>
          <w:sz w:val="24"/>
        </w:rPr>
        <w:t>1</w:t>
      </w:r>
      <w:r>
        <w:rPr>
          <w:rFonts w:ascii="宋体" w:hAnsi="宋体"/>
          <w:sz w:val="24"/>
        </w:rPr>
        <w:t>.5</w:t>
      </w:r>
      <w:r>
        <w:rPr>
          <w:rFonts w:hint="eastAsia" w:ascii="宋体" w:hAnsi="宋体"/>
          <w:sz w:val="24"/>
        </w:rPr>
        <w:t>投标方所有的材料及零部件(或元器件)均符合有关规范的要求，且是新的和优质的，并能满足当地环境条件的要求。标的设备交付时应提供生产许可证、产品检验合格证及使用维护说明书等相关资料，不得采用国家公布的淘汰产品。</w:t>
      </w:r>
    </w:p>
    <w:p w14:paraId="14CDFA83">
      <w:pPr>
        <w:pStyle w:val="35"/>
        <w:numPr>
          <w:ilvl w:val="1"/>
          <w:numId w:val="0"/>
        </w:numPr>
        <w:spacing w:line="360" w:lineRule="auto"/>
        <w:rPr>
          <w:rFonts w:hint="eastAsia" w:ascii="宋体" w:hAnsi="宋体"/>
          <w:sz w:val="24"/>
        </w:rPr>
      </w:pPr>
      <w:r>
        <w:rPr>
          <w:rFonts w:hint="eastAsia" w:ascii="宋体" w:hAnsi="宋体"/>
          <w:sz w:val="24"/>
        </w:rPr>
        <w:t>1</w:t>
      </w:r>
      <w:r>
        <w:rPr>
          <w:rFonts w:ascii="宋体" w:hAnsi="宋体"/>
          <w:sz w:val="24"/>
        </w:rPr>
        <w:t>.6</w:t>
      </w:r>
      <w:r>
        <w:rPr>
          <w:rFonts w:hint="eastAsia" w:ascii="宋体" w:hAnsi="宋体"/>
          <w:sz w:val="24"/>
        </w:rPr>
        <w:t>所使用的零件或组件，特别是易损件应具备可维护、更换性，优先采用国标标准。</w:t>
      </w:r>
    </w:p>
    <w:p w14:paraId="3D104244">
      <w:pPr>
        <w:pStyle w:val="35"/>
        <w:numPr>
          <w:ilvl w:val="1"/>
          <w:numId w:val="0"/>
        </w:numPr>
        <w:spacing w:line="360" w:lineRule="auto"/>
        <w:rPr>
          <w:rFonts w:hint="eastAsia" w:ascii="宋体" w:hAnsi="宋体"/>
          <w:sz w:val="24"/>
        </w:rPr>
      </w:pPr>
      <w:r>
        <w:rPr>
          <w:rFonts w:hint="eastAsia" w:ascii="宋体" w:hAnsi="宋体"/>
          <w:sz w:val="24"/>
        </w:rPr>
        <w:t>1</w:t>
      </w:r>
      <w:r>
        <w:rPr>
          <w:rFonts w:ascii="宋体" w:hAnsi="宋体"/>
          <w:sz w:val="24"/>
        </w:rPr>
        <w:t>.7</w:t>
      </w:r>
      <w:r>
        <w:rPr>
          <w:rFonts w:hint="eastAsia" w:ascii="宋体" w:hAnsi="宋体"/>
          <w:sz w:val="24"/>
        </w:rPr>
        <w:t>易于磨损、腐蚀、老化或需要调整、检查和更换的部件提供备用品清单，并能比较方便地拆卸、更换和修理。</w:t>
      </w:r>
    </w:p>
    <w:p w14:paraId="33CAF9E7">
      <w:pPr>
        <w:pStyle w:val="35"/>
        <w:numPr>
          <w:ilvl w:val="1"/>
          <w:numId w:val="0"/>
        </w:numPr>
        <w:spacing w:line="360" w:lineRule="auto"/>
        <w:rPr>
          <w:rFonts w:hint="eastAsia" w:ascii="宋体" w:hAnsi="宋体"/>
          <w:sz w:val="24"/>
        </w:rPr>
      </w:pPr>
      <w:r>
        <w:rPr>
          <w:rFonts w:hint="eastAsia" w:ascii="宋体" w:hAnsi="宋体"/>
          <w:sz w:val="24"/>
        </w:rPr>
        <w:t>1</w:t>
      </w:r>
      <w:r>
        <w:rPr>
          <w:rFonts w:ascii="宋体" w:hAnsi="宋体"/>
          <w:sz w:val="24"/>
        </w:rPr>
        <w:t>.8</w:t>
      </w:r>
      <w:r>
        <w:rPr>
          <w:rFonts w:hint="eastAsia" w:ascii="宋体" w:hAnsi="宋体"/>
          <w:sz w:val="24"/>
        </w:rPr>
        <w:t>外露的转动部件均设置防护罩，且便于拆卸。各转动零、部件须转动灵活，无卡阻现象。</w:t>
      </w:r>
    </w:p>
    <w:p w14:paraId="0CE1EC89">
      <w:pPr>
        <w:pStyle w:val="35"/>
        <w:numPr>
          <w:ilvl w:val="1"/>
          <w:numId w:val="0"/>
        </w:numPr>
        <w:spacing w:line="360" w:lineRule="auto"/>
        <w:rPr>
          <w:rFonts w:hint="eastAsia" w:ascii="宋体" w:hAnsi="宋体"/>
          <w:sz w:val="24"/>
        </w:rPr>
      </w:pPr>
      <w:r>
        <w:rPr>
          <w:rFonts w:hint="eastAsia" w:ascii="宋体" w:hAnsi="宋体"/>
          <w:sz w:val="24"/>
        </w:rPr>
        <w:t>1</w:t>
      </w:r>
      <w:r>
        <w:rPr>
          <w:rFonts w:ascii="宋体" w:hAnsi="宋体"/>
          <w:sz w:val="24"/>
        </w:rPr>
        <w:t>.9</w:t>
      </w:r>
      <w:r>
        <w:rPr>
          <w:rFonts w:hint="eastAsia" w:ascii="宋体" w:hAnsi="宋体"/>
          <w:sz w:val="24"/>
        </w:rPr>
        <w:t>本技术附件仅提供有限的、最低限度的技术要求，并未对所有技术细节做出规定，也未完全陈述与之有关规范和标准的详细条文，投标方应根据自己的经验和有关国家、行业最新技术规范和标准以及招标方提供的技术资料要求提供本技术附件中所列的、满足有关工业化标准要求的优良设备。并且投标方的产品应保证符合国家、行业最新技术规范和标准以及招标方提供的技术资料的要求；如果提供的技术资料、制造标准低于国家、行业最新技术规范和标准时，按照较高标准执行，必须满足招标方实际使用需求。</w:t>
      </w:r>
    </w:p>
    <w:p w14:paraId="523C0089">
      <w:pPr>
        <w:pStyle w:val="35"/>
        <w:numPr>
          <w:ilvl w:val="1"/>
          <w:numId w:val="0"/>
        </w:numPr>
        <w:spacing w:line="360" w:lineRule="auto"/>
        <w:rPr>
          <w:rFonts w:hint="eastAsia" w:ascii="宋体" w:hAnsi="宋体"/>
          <w:sz w:val="24"/>
        </w:rPr>
      </w:pPr>
      <w:r>
        <w:rPr>
          <w:rFonts w:hint="eastAsia" w:ascii="宋体" w:hAnsi="宋体"/>
          <w:sz w:val="24"/>
        </w:rPr>
        <w:t>1</w:t>
      </w:r>
      <w:r>
        <w:rPr>
          <w:rFonts w:ascii="宋体" w:hAnsi="宋体"/>
          <w:sz w:val="24"/>
        </w:rPr>
        <w:t>.10</w:t>
      </w:r>
      <w:r>
        <w:rPr>
          <w:rFonts w:hint="eastAsia" w:ascii="宋体" w:hAnsi="宋体"/>
          <w:sz w:val="24"/>
        </w:rPr>
        <w:t>如果投标方没有以书面形式对本技术附件的条款提出异议，那么默认为完全认同本技术附件的要求；在签订合同后，招标方有权提出因规范标准和规程发生变化而产生的一些补充要求，具体由双方共同商定。</w:t>
      </w:r>
    </w:p>
    <w:p w14:paraId="62ED6D85">
      <w:pPr>
        <w:pStyle w:val="35"/>
        <w:numPr>
          <w:ilvl w:val="1"/>
          <w:numId w:val="0"/>
        </w:numPr>
        <w:spacing w:line="360" w:lineRule="auto"/>
        <w:rPr>
          <w:rFonts w:hint="eastAsia" w:ascii="宋体" w:hAnsi="宋体"/>
          <w:sz w:val="24"/>
        </w:rPr>
      </w:pPr>
      <w:r>
        <w:rPr>
          <w:rFonts w:hint="eastAsia" w:ascii="宋体" w:hAnsi="宋体"/>
          <w:sz w:val="24"/>
        </w:rPr>
        <w:t>1</w:t>
      </w:r>
      <w:r>
        <w:rPr>
          <w:rFonts w:ascii="宋体" w:hAnsi="宋体"/>
          <w:sz w:val="24"/>
        </w:rPr>
        <w:t>.11</w:t>
      </w:r>
      <w:r>
        <w:rPr>
          <w:rFonts w:hint="eastAsia" w:ascii="宋体" w:hAnsi="宋体"/>
          <w:sz w:val="24"/>
        </w:rPr>
        <w:t>投标方对设备的完整性、安全性、可靠性负责，严格按照双方确认的技术资料进行制造；制造过程中如有变更或修改，必须经双方共同签字确认后方可变更。</w:t>
      </w:r>
    </w:p>
    <w:p w14:paraId="498F7AC8">
      <w:pPr>
        <w:pStyle w:val="35"/>
        <w:numPr>
          <w:ilvl w:val="1"/>
          <w:numId w:val="0"/>
        </w:numPr>
        <w:spacing w:line="360" w:lineRule="auto"/>
        <w:rPr>
          <w:rFonts w:hint="eastAsia" w:ascii="宋体" w:hAnsi="宋体"/>
          <w:sz w:val="24"/>
        </w:rPr>
      </w:pPr>
      <w:r>
        <w:rPr>
          <w:rFonts w:hint="eastAsia" w:ascii="宋体" w:hAnsi="宋体"/>
          <w:sz w:val="24"/>
        </w:rPr>
        <w:t>1</w:t>
      </w:r>
      <w:r>
        <w:rPr>
          <w:rFonts w:ascii="宋体" w:hAnsi="宋体"/>
          <w:sz w:val="24"/>
        </w:rPr>
        <w:t>.12</w:t>
      </w:r>
      <w:r>
        <w:rPr>
          <w:rFonts w:hint="eastAsia" w:ascii="宋体" w:hAnsi="宋体"/>
          <w:sz w:val="24"/>
        </w:rPr>
        <w:t>招标方保留对投标方生产进度、产品质量进行检查、监制的权力，有权进入投标方货物制造场所确认检查及试验的有效性。因生产工艺及其它不符合有关协议、技术文件、合同要求的情况，招标方有保留中止其生产或拒收货物的权力。</w:t>
      </w:r>
    </w:p>
    <w:p w14:paraId="206620FA">
      <w:pPr>
        <w:pStyle w:val="35"/>
        <w:numPr>
          <w:ilvl w:val="1"/>
          <w:numId w:val="0"/>
        </w:numPr>
        <w:spacing w:line="360" w:lineRule="auto"/>
        <w:rPr>
          <w:rFonts w:hint="eastAsia" w:ascii="宋体" w:hAnsi="宋体"/>
          <w:sz w:val="24"/>
        </w:rPr>
      </w:pPr>
      <w:r>
        <w:rPr>
          <w:rFonts w:hint="eastAsia" w:ascii="宋体" w:hAnsi="宋体"/>
          <w:sz w:val="24"/>
        </w:rPr>
        <w:t>1</w:t>
      </w:r>
      <w:r>
        <w:rPr>
          <w:rFonts w:ascii="宋体" w:hAnsi="宋体"/>
          <w:sz w:val="24"/>
        </w:rPr>
        <w:t>.13</w:t>
      </w:r>
      <w:r>
        <w:rPr>
          <w:rFonts w:hint="eastAsia" w:ascii="宋体" w:hAnsi="宋体"/>
          <w:sz w:val="24"/>
        </w:rPr>
        <w:t>投标方应保证所供设备的合法性，如因此产生了侵权行为，由投标方承担，并不得影响招标方权益。</w:t>
      </w:r>
    </w:p>
    <w:p w14:paraId="090BD3E4">
      <w:pPr>
        <w:pStyle w:val="35"/>
        <w:numPr>
          <w:ilvl w:val="1"/>
          <w:numId w:val="0"/>
        </w:numPr>
        <w:spacing w:line="360" w:lineRule="auto"/>
        <w:rPr>
          <w:rFonts w:hint="eastAsia" w:ascii="宋体" w:hAnsi="宋体"/>
          <w:sz w:val="24"/>
        </w:rPr>
      </w:pPr>
      <w:r>
        <w:rPr>
          <w:rFonts w:hint="eastAsia" w:ascii="宋体" w:hAnsi="宋体"/>
          <w:sz w:val="24"/>
        </w:rPr>
        <w:t>1</w:t>
      </w:r>
      <w:r>
        <w:rPr>
          <w:rFonts w:ascii="宋体" w:hAnsi="宋体"/>
          <w:sz w:val="24"/>
        </w:rPr>
        <w:t>.14</w:t>
      </w:r>
      <w:r>
        <w:rPr>
          <w:rFonts w:hint="eastAsia" w:ascii="宋体" w:hAnsi="宋体"/>
          <w:sz w:val="24"/>
        </w:rPr>
        <w:t>投标方应保证所承制的设备部件不得分割外包，配套件、标准件除外。</w:t>
      </w:r>
    </w:p>
    <w:p w14:paraId="25CC86BB">
      <w:pPr>
        <w:pStyle w:val="35"/>
        <w:numPr>
          <w:ilvl w:val="1"/>
          <w:numId w:val="0"/>
        </w:numPr>
        <w:spacing w:line="360" w:lineRule="auto"/>
        <w:rPr>
          <w:rFonts w:hint="eastAsia" w:ascii="宋体" w:hAnsi="宋体"/>
          <w:sz w:val="24"/>
        </w:rPr>
      </w:pPr>
      <w:r>
        <w:rPr>
          <w:rFonts w:hint="eastAsia" w:ascii="宋体" w:hAnsi="宋体"/>
          <w:sz w:val="24"/>
        </w:rPr>
        <w:t>1</w:t>
      </w:r>
      <w:r>
        <w:rPr>
          <w:rFonts w:ascii="宋体" w:hAnsi="宋体"/>
          <w:sz w:val="24"/>
        </w:rPr>
        <w:t>.15</w:t>
      </w:r>
      <w:r>
        <w:rPr>
          <w:rFonts w:hint="eastAsia" w:ascii="宋体" w:hAnsi="宋体"/>
          <w:sz w:val="24"/>
        </w:rPr>
        <w:t>设备供货（包括设计、制造、检验、试验等）应严格遵循适用的国际、国家、行业以及相关的工程技术文件中相应条款的要求。</w:t>
      </w:r>
    </w:p>
    <w:p w14:paraId="3259708D">
      <w:pPr>
        <w:pStyle w:val="2"/>
        <w:spacing w:before="156" w:beforeLines="50" w:after="156" w:afterLines="50" w:line="360" w:lineRule="auto"/>
        <w:ind w:left="369" w:hanging="369"/>
        <w:rPr>
          <w:rFonts w:ascii="Times New Roman" w:hAnsi="Times New Roman" w:eastAsia="宋体" w:cs="宋体"/>
          <w:b/>
          <w:color w:val="auto"/>
          <w:sz w:val="28"/>
          <w:szCs w:val="28"/>
        </w:rPr>
      </w:pPr>
      <w:bookmarkStart w:id="1" w:name="_Toc24956"/>
      <w:r>
        <w:rPr>
          <w:rFonts w:hint="eastAsia" w:ascii="Times New Roman" w:hAnsi="Times New Roman" w:eastAsia="宋体" w:cs="宋体"/>
          <w:b/>
          <w:color w:val="auto"/>
          <w:sz w:val="28"/>
          <w:szCs w:val="28"/>
        </w:rPr>
        <w:t>2.</w:t>
      </w:r>
      <w:bookmarkEnd w:id="1"/>
      <w:r>
        <w:rPr>
          <w:rFonts w:hint="eastAsia" w:ascii="Times New Roman" w:hAnsi="Times New Roman" w:eastAsia="宋体" w:cs="宋体"/>
          <w:b/>
          <w:color w:val="auto"/>
          <w:sz w:val="28"/>
          <w:szCs w:val="28"/>
        </w:rPr>
        <w:t>技术参数</w:t>
      </w:r>
    </w:p>
    <w:tbl>
      <w:tblPr>
        <w:tblStyle w:val="17"/>
        <w:tblW w:w="8586" w:type="dxa"/>
        <w:jc w:val="center"/>
        <w:tblLayout w:type="autofit"/>
        <w:tblCellMar>
          <w:top w:w="0" w:type="dxa"/>
          <w:left w:w="108" w:type="dxa"/>
          <w:bottom w:w="0" w:type="dxa"/>
          <w:right w:w="108" w:type="dxa"/>
        </w:tblCellMar>
      </w:tblPr>
      <w:tblGrid>
        <w:gridCol w:w="523"/>
        <w:gridCol w:w="856"/>
        <w:gridCol w:w="1256"/>
        <w:gridCol w:w="3216"/>
        <w:gridCol w:w="838"/>
        <w:gridCol w:w="739"/>
        <w:gridCol w:w="1158"/>
      </w:tblGrid>
      <w:tr w14:paraId="4E4BE8CB">
        <w:tblPrEx>
          <w:tblCellMar>
            <w:top w:w="0" w:type="dxa"/>
            <w:left w:w="108" w:type="dxa"/>
            <w:bottom w:w="0" w:type="dxa"/>
            <w:right w:w="108" w:type="dxa"/>
          </w:tblCellMar>
        </w:tblPrEx>
        <w:trPr>
          <w:tblHeader/>
          <w:jc w:val="center"/>
        </w:trPr>
        <w:tc>
          <w:tcPr>
            <w:tcW w:w="0" w:type="auto"/>
            <w:vMerge w:val="restart"/>
            <w:tcBorders>
              <w:top w:val="single" w:color="auto" w:sz="4" w:space="0"/>
              <w:left w:val="single" w:color="auto" w:sz="4" w:space="0"/>
              <w:bottom w:val="single" w:color="auto" w:sz="4" w:space="0"/>
              <w:right w:val="single" w:color="auto" w:sz="4" w:space="0"/>
            </w:tcBorders>
            <w:vAlign w:val="center"/>
          </w:tcPr>
          <w:p w14:paraId="2C3FA90A">
            <w:pPr>
              <w:widowControl/>
              <w:snapToGrid w:val="0"/>
              <w:jc w:val="center"/>
              <w:rPr>
                <w:rFonts w:hint="eastAsia" w:ascii="黑体" w:hAnsi="黑体" w:eastAsia="黑体" w:cs="宋体"/>
                <w:b/>
                <w:kern w:val="0"/>
                <w:sz w:val="20"/>
                <w:szCs w:val="20"/>
              </w:rPr>
            </w:pPr>
            <w:r>
              <w:rPr>
                <w:rFonts w:hint="eastAsia" w:ascii="黑体" w:hAnsi="黑体" w:eastAsia="黑体" w:cs="宋体"/>
                <w:b/>
                <w:kern w:val="0"/>
                <w:sz w:val="20"/>
                <w:szCs w:val="20"/>
              </w:rPr>
              <w:t>序号</w:t>
            </w:r>
          </w:p>
        </w:tc>
        <w:tc>
          <w:tcPr>
            <w:tcW w:w="0" w:type="auto"/>
            <w:vMerge w:val="restart"/>
            <w:tcBorders>
              <w:top w:val="single" w:color="auto" w:sz="4" w:space="0"/>
              <w:left w:val="single" w:color="auto" w:sz="4" w:space="0"/>
              <w:bottom w:val="single" w:color="auto" w:sz="4" w:space="0"/>
              <w:right w:val="single" w:color="auto" w:sz="4" w:space="0"/>
            </w:tcBorders>
            <w:vAlign w:val="center"/>
          </w:tcPr>
          <w:p w14:paraId="2144B9FA">
            <w:pPr>
              <w:widowControl/>
              <w:snapToGrid w:val="0"/>
              <w:jc w:val="center"/>
              <w:rPr>
                <w:rFonts w:hint="eastAsia" w:ascii="黑体" w:hAnsi="黑体" w:eastAsia="黑体" w:cs="宋体"/>
                <w:b/>
                <w:kern w:val="0"/>
                <w:sz w:val="20"/>
                <w:szCs w:val="20"/>
              </w:rPr>
            </w:pPr>
            <w:r>
              <w:rPr>
                <w:rFonts w:hint="eastAsia" w:ascii="黑体" w:hAnsi="黑体" w:eastAsia="黑体" w:cs="宋体"/>
                <w:b/>
                <w:kern w:val="0"/>
                <w:sz w:val="20"/>
                <w:szCs w:val="20"/>
              </w:rPr>
              <w:t>设备编号</w:t>
            </w:r>
          </w:p>
        </w:tc>
        <w:tc>
          <w:tcPr>
            <w:tcW w:w="1256" w:type="dxa"/>
            <w:vMerge w:val="restart"/>
            <w:tcBorders>
              <w:top w:val="single" w:color="auto" w:sz="4" w:space="0"/>
              <w:left w:val="single" w:color="auto" w:sz="4" w:space="0"/>
              <w:bottom w:val="single" w:color="auto" w:sz="4" w:space="0"/>
              <w:right w:val="single" w:color="auto" w:sz="4" w:space="0"/>
            </w:tcBorders>
            <w:noWrap/>
            <w:vAlign w:val="center"/>
          </w:tcPr>
          <w:p w14:paraId="649F8163">
            <w:pPr>
              <w:widowControl/>
              <w:snapToGrid w:val="0"/>
              <w:jc w:val="center"/>
              <w:rPr>
                <w:rFonts w:hint="eastAsia" w:ascii="黑体" w:hAnsi="黑体" w:eastAsia="黑体" w:cs="宋体"/>
                <w:b/>
                <w:kern w:val="0"/>
                <w:sz w:val="20"/>
                <w:szCs w:val="20"/>
              </w:rPr>
            </w:pPr>
            <w:r>
              <w:rPr>
                <w:rFonts w:hint="eastAsia" w:ascii="黑体" w:hAnsi="黑体" w:eastAsia="黑体" w:cs="宋体"/>
                <w:b/>
                <w:kern w:val="0"/>
                <w:sz w:val="20"/>
                <w:szCs w:val="20"/>
              </w:rPr>
              <w:t>设备名称</w:t>
            </w:r>
          </w:p>
        </w:tc>
        <w:tc>
          <w:tcPr>
            <w:tcW w:w="3216" w:type="dxa"/>
            <w:vMerge w:val="restart"/>
            <w:tcBorders>
              <w:top w:val="single" w:color="auto" w:sz="4" w:space="0"/>
              <w:left w:val="single" w:color="auto" w:sz="4" w:space="0"/>
              <w:bottom w:val="single" w:color="auto" w:sz="4" w:space="0"/>
              <w:right w:val="single" w:color="auto" w:sz="4" w:space="0"/>
            </w:tcBorders>
            <w:vAlign w:val="center"/>
          </w:tcPr>
          <w:p w14:paraId="56339D70">
            <w:pPr>
              <w:widowControl/>
              <w:snapToGrid w:val="0"/>
              <w:jc w:val="center"/>
              <w:rPr>
                <w:rFonts w:hint="eastAsia" w:ascii="黑体" w:hAnsi="黑体" w:eastAsia="黑体" w:cs="宋体"/>
                <w:b/>
                <w:kern w:val="0"/>
                <w:sz w:val="20"/>
                <w:szCs w:val="20"/>
              </w:rPr>
            </w:pPr>
            <w:r>
              <w:rPr>
                <w:rFonts w:hint="eastAsia" w:ascii="黑体" w:hAnsi="黑体" w:eastAsia="黑体" w:cs="宋体"/>
                <w:b/>
                <w:kern w:val="0"/>
                <w:sz w:val="20"/>
                <w:szCs w:val="20"/>
              </w:rPr>
              <w:t>规格型号/技术参数</w:t>
            </w:r>
          </w:p>
        </w:tc>
        <w:tc>
          <w:tcPr>
            <w:tcW w:w="838" w:type="dxa"/>
            <w:tcBorders>
              <w:top w:val="single" w:color="auto" w:sz="4" w:space="0"/>
              <w:left w:val="single" w:color="auto" w:sz="4" w:space="0"/>
              <w:bottom w:val="single" w:color="auto" w:sz="4" w:space="0"/>
              <w:right w:val="single" w:color="auto" w:sz="4" w:space="0"/>
            </w:tcBorders>
            <w:vAlign w:val="center"/>
          </w:tcPr>
          <w:p w14:paraId="152BAFCD">
            <w:pPr>
              <w:widowControl/>
              <w:snapToGrid w:val="0"/>
              <w:jc w:val="center"/>
              <w:rPr>
                <w:rFonts w:hint="eastAsia" w:ascii="黑体" w:hAnsi="黑体" w:eastAsia="黑体" w:cs="宋体"/>
                <w:b/>
                <w:kern w:val="0"/>
                <w:sz w:val="20"/>
                <w:szCs w:val="20"/>
              </w:rPr>
            </w:pPr>
            <w:r>
              <w:rPr>
                <w:rFonts w:hint="eastAsia" w:ascii="黑体" w:hAnsi="黑体" w:eastAsia="黑体" w:cs="宋体"/>
                <w:b/>
                <w:kern w:val="0"/>
                <w:sz w:val="20"/>
                <w:szCs w:val="20"/>
              </w:rPr>
              <w:t>数量</w:t>
            </w:r>
          </w:p>
        </w:tc>
        <w:tc>
          <w:tcPr>
            <w:tcW w:w="739" w:type="dxa"/>
            <w:tcBorders>
              <w:top w:val="single" w:color="auto" w:sz="4" w:space="0"/>
              <w:left w:val="single" w:color="auto" w:sz="4" w:space="0"/>
              <w:bottom w:val="single" w:color="auto" w:sz="4" w:space="0"/>
              <w:right w:val="single" w:color="auto" w:sz="4" w:space="0"/>
            </w:tcBorders>
            <w:vAlign w:val="center"/>
          </w:tcPr>
          <w:p w14:paraId="48040458">
            <w:pPr>
              <w:widowControl/>
              <w:snapToGrid w:val="0"/>
              <w:jc w:val="center"/>
              <w:rPr>
                <w:rFonts w:hint="eastAsia" w:ascii="黑体" w:hAnsi="黑体" w:eastAsia="黑体" w:cs="宋体"/>
                <w:b/>
                <w:kern w:val="0"/>
                <w:sz w:val="20"/>
                <w:szCs w:val="20"/>
              </w:rPr>
            </w:pPr>
            <w:r>
              <w:rPr>
                <w:rFonts w:hint="eastAsia" w:ascii="黑体" w:hAnsi="黑体" w:eastAsia="黑体" w:cs="宋体"/>
                <w:b/>
                <w:kern w:val="0"/>
                <w:sz w:val="20"/>
                <w:szCs w:val="20"/>
              </w:rPr>
              <w:t>重量</w:t>
            </w:r>
          </w:p>
        </w:tc>
        <w:tc>
          <w:tcPr>
            <w:tcW w:w="1158" w:type="dxa"/>
            <w:vMerge w:val="restart"/>
            <w:tcBorders>
              <w:top w:val="single" w:color="auto" w:sz="4" w:space="0"/>
              <w:left w:val="single" w:color="auto" w:sz="4" w:space="0"/>
              <w:bottom w:val="single" w:color="auto" w:sz="4" w:space="0"/>
              <w:right w:val="single" w:color="auto" w:sz="4" w:space="0"/>
            </w:tcBorders>
            <w:vAlign w:val="center"/>
          </w:tcPr>
          <w:p w14:paraId="5D2778A3">
            <w:pPr>
              <w:widowControl/>
              <w:snapToGrid w:val="0"/>
              <w:jc w:val="center"/>
              <w:rPr>
                <w:rFonts w:hint="eastAsia" w:ascii="黑体" w:hAnsi="黑体" w:eastAsia="黑体" w:cs="宋体"/>
                <w:b/>
                <w:kern w:val="0"/>
                <w:sz w:val="20"/>
                <w:szCs w:val="20"/>
              </w:rPr>
            </w:pPr>
            <w:r>
              <w:rPr>
                <w:rFonts w:hint="eastAsia" w:ascii="黑体" w:hAnsi="黑体" w:eastAsia="黑体" w:cs="宋体"/>
                <w:b/>
                <w:kern w:val="0"/>
                <w:sz w:val="20"/>
                <w:szCs w:val="20"/>
              </w:rPr>
              <w:t>备注</w:t>
            </w:r>
          </w:p>
        </w:tc>
      </w:tr>
      <w:tr w14:paraId="4D036DD1">
        <w:tblPrEx>
          <w:tblCellMar>
            <w:top w:w="0" w:type="dxa"/>
            <w:left w:w="108" w:type="dxa"/>
            <w:bottom w:w="0" w:type="dxa"/>
            <w:right w:w="108" w:type="dxa"/>
          </w:tblCellMar>
        </w:tblPrEx>
        <w:trPr>
          <w:tblHeader/>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512E9CF2">
            <w:pPr>
              <w:widowControl/>
              <w:snapToGrid w:val="0"/>
              <w:jc w:val="center"/>
              <w:rPr>
                <w:rFonts w:hint="eastAsia" w:ascii="黑体" w:hAnsi="黑体" w:eastAsia="黑体" w:cs="宋体"/>
                <w:b/>
                <w:kern w:val="0"/>
                <w:sz w:val="20"/>
                <w:szCs w:val="20"/>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0447CAA8">
            <w:pPr>
              <w:widowControl/>
              <w:snapToGrid w:val="0"/>
              <w:jc w:val="center"/>
              <w:rPr>
                <w:rFonts w:hint="eastAsia" w:ascii="黑体" w:hAnsi="黑体" w:eastAsia="黑体" w:cs="宋体"/>
                <w:b/>
                <w:kern w:val="0"/>
                <w:sz w:val="20"/>
                <w:szCs w:val="20"/>
              </w:rPr>
            </w:pPr>
          </w:p>
        </w:tc>
        <w:tc>
          <w:tcPr>
            <w:tcW w:w="1256" w:type="dxa"/>
            <w:vMerge w:val="continue"/>
            <w:tcBorders>
              <w:top w:val="single" w:color="auto" w:sz="4" w:space="0"/>
              <w:left w:val="single" w:color="auto" w:sz="4" w:space="0"/>
              <w:bottom w:val="single" w:color="auto" w:sz="4" w:space="0"/>
              <w:right w:val="single" w:color="auto" w:sz="4" w:space="0"/>
            </w:tcBorders>
            <w:vAlign w:val="center"/>
          </w:tcPr>
          <w:p w14:paraId="5136413C">
            <w:pPr>
              <w:widowControl/>
              <w:snapToGrid w:val="0"/>
              <w:jc w:val="center"/>
              <w:rPr>
                <w:rFonts w:hint="eastAsia" w:ascii="黑体" w:hAnsi="黑体" w:eastAsia="黑体" w:cs="宋体"/>
                <w:b/>
                <w:kern w:val="0"/>
                <w:sz w:val="20"/>
                <w:szCs w:val="20"/>
              </w:rPr>
            </w:pPr>
          </w:p>
        </w:tc>
        <w:tc>
          <w:tcPr>
            <w:tcW w:w="3216" w:type="dxa"/>
            <w:vMerge w:val="continue"/>
            <w:tcBorders>
              <w:top w:val="single" w:color="auto" w:sz="4" w:space="0"/>
              <w:left w:val="single" w:color="auto" w:sz="4" w:space="0"/>
              <w:bottom w:val="single" w:color="auto" w:sz="4" w:space="0"/>
              <w:right w:val="single" w:color="auto" w:sz="4" w:space="0"/>
            </w:tcBorders>
            <w:vAlign w:val="center"/>
          </w:tcPr>
          <w:p w14:paraId="29716919">
            <w:pPr>
              <w:widowControl/>
              <w:snapToGrid w:val="0"/>
              <w:jc w:val="center"/>
              <w:rPr>
                <w:rFonts w:hint="eastAsia" w:ascii="黑体" w:hAnsi="黑体" w:eastAsia="黑体" w:cs="宋体"/>
                <w:b/>
                <w:kern w:val="0"/>
                <w:sz w:val="20"/>
                <w:szCs w:val="20"/>
              </w:rPr>
            </w:pPr>
          </w:p>
        </w:tc>
        <w:tc>
          <w:tcPr>
            <w:tcW w:w="838" w:type="dxa"/>
            <w:tcBorders>
              <w:top w:val="single" w:color="auto" w:sz="4" w:space="0"/>
              <w:left w:val="single" w:color="auto" w:sz="4" w:space="0"/>
              <w:bottom w:val="single" w:color="auto" w:sz="4" w:space="0"/>
              <w:right w:val="single" w:color="auto" w:sz="4" w:space="0"/>
            </w:tcBorders>
            <w:vAlign w:val="center"/>
          </w:tcPr>
          <w:p w14:paraId="7ED9B6CD">
            <w:pPr>
              <w:widowControl/>
              <w:snapToGrid w:val="0"/>
              <w:jc w:val="center"/>
              <w:rPr>
                <w:rFonts w:hint="eastAsia" w:ascii="黑体" w:hAnsi="黑体" w:eastAsia="黑体" w:cs="宋体"/>
                <w:b/>
                <w:kern w:val="0"/>
                <w:sz w:val="20"/>
                <w:szCs w:val="20"/>
              </w:rPr>
            </w:pPr>
            <w:r>
              <w:rPr>
                <w:rFonts w:hint="eastAsia" w:ascii="黑体" w:hAnsi="黑体" w:eastAsia="黑体" w:cs="宋体"/>
                <w:b/>
                <w:kern w:val="0"/>
                <w:sz w:val="20"/>
                <w:szCs w:val="20"/>
              </w:rPr>
              <w:t>个/台</w:t>
            </w:r>
          </w:p>
        </w:tc>
        <w:tc>
          <w:tcPr>
            <w:tcW w:w="739" w:type="dxa"/>
            <w:tcBorders>
              <w:top w:val="single" w:color="auto" w:sz="4" w:space="0"/>
              <w:left w:val="single" w:color="auto" w:sz="4" w:space="0"/>
              <w:bottom w:val="single" w:color="auto" w:sz="4" w:space="0"/>
              <w:right w:val="single" w:color="auto" w:sz="4" w:space="0"/>
            </w:tcBorders>
            <w:vAlign w:val="center"/>
          </w:tcPr>
          <w:p w14:paraId="0146C4B2">
            <w:pPr>
              <w:widowControl/>
              <w:snapToGrid w:val="0"/>
              <w:jc w:val="center"/>
              <w:rPr>
                <w:rFonts w:hint="eastAsia" w:ascii="黑体" w:hAnsi="黑体" w:eastAsia="黑体" w:cs="宋体"/>
                <w:b/>
                <w:kern w:val="0"/>
                <w:sz w:val="20"/>
                <w:szCs w:val="20"/>
              </w:rPr>
            </w:pPr>
            <w:r>
              <w:rPr>
                <w:rFonts w:hint="eastAsia" w:ascii="黑体" w:hAnsi="黑体" w:eastAsia="黑体" w:cs="宋体"/>
                <w:b/>
                <w:kern w:val="0"/>
                <w:sz w:val="20"/>
                <w:szCs w:val="20"/>
              </w:rPr>
              <w:t>(kg)</w:t>
            </w:r>
          </w:p>
        </w:tc>
        <w:tc>
          <w:tcPr>
            <w:tcW w:w="1158" w:type="dxa"/>
            <w:vMerge w:val="continue"/>
            <w:tcBorders>
              <w:top w:val="single" w:color="auto" w:sz="4" w:space="0"/>
              <w:left w:val="single" w:color="auto" w:sz="4" w:space="0"/>
              <w:bottom w:val="single" w:color="auto" w:sz="4" w:space="0"/>
              <w:right w:val="single" w:color="auto" w:sz="4" w:space="0"/>
            </w:tcBorders>
            <w:vAlign w:val="center"/>
          </w:tcPr>
          <w:p w14:paraId="12F49BA3">
            <w:pPr>
              <w:widowControl/>
              <w:snapToGrid w:val="0"/>
              <w:jc w:val="center"/>
              <w:rPr>
                <w:rFonts w:hint="eastAsia" w:ascii="黑体" w:hAnsi="黑体" w:eastAsia="黑体" w:cs="宋体"/>
                <w:b/>
                <w:kern w:val="0"/>
                <w:sz w:val="20"/>
                <w:szCs w:val="20"/>
              </w:rPr>
            </w:pPr>
          </w:p>
        </w:tc>
      </w:tr>
      <w:tr w14:paraId="255879A5">
        <w:tblPrEx>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14:paraId="1798D9B6">
            <w:pPr>
              <w:widowControl/>
              <w:snapToGrid w:val="0"/>
              <w:jc w:val="center"/>
              <w:rPr>
                <w:rFonts w:hint="eastAsia" w:ascii="宋体" w:hAnsi="黑体" w:cs="宋体"/>
                <w:kern w:val="0"/>
                <w:sz w:val="20"/>
                <w:szCs w:val="20"/>
              </w:rPr>
            </w:pPr>
            <w:r>
              <w:rPr>
                <w:rFonts w:hint="eastAsia" w:ascii="宋体" w:hAnsi="宋体" w:cs="宋体"/>
                <w:kern w:val="0"/>
                <w:sz w:val="20"/>
                <w:szCs w:val="20"/>
              </w:rPr>
              <w:t>1</w:t>
            </w:r>
          </w:p>
        </w:tc>
        <w:tc>
          <w:tcPr>
            <w:tcW w:w="0" w:type="auto"/>
            <w:tcBorders>
              <w:top w:val="single" w:color="auto" w:sz="4" w:space="0"/>
              <w:left w:val="single" w:color="auto" w:sz="4" w:space="0"/>
              <w:bottom w:val="single" w:color="auto" w:sz="4" w:space="0"/>
              <w:right w:val="single" w:color="auto" w:sz="4" w:space="0"/>
            </w:tcBorders>
            <w:vAlign w:val="center"/>
          </w:tcPr>
          <w:p w14:paraId="5DE4D0C4">
            <w:pPr>
              <w:widowControl/>
              <w:snapToGrid w:val="0"/>
              <w:jc w:val="center"/>
              <w:rPr>
                <w:rFonts w:hint="eastAsia" w:ascii="宋体" w:hAnsi="黑体" w:cs="宋体"/>
                <w:kern w:val="0"/>
                <w:sz w:val="20"/>
                <w:szCs w:val="20"/>
              </w:rPr>
            </w:pPr>
            <w:r>
              <w:rPr>
                <w:rFonts w:hint="eastAsia" w:ascii="宋体" w:hAnsi="黑体" w:cs="宋体"/>
                <w:kern w:val="0"/>
                <w:sz w:val="20"/>
                <w:szCs w:val="20"/>
              </w:rPr>
              <w:t>E-07</w:t>
            </w:r>
          </w:p>
        </w:tc>
        <w:tc>
          <w:tcPr>
            <w:tcW w:w="1256" w:type="dxa"/>
            <w:tcBorders>
              <w:top w:val="single" w:color="auto" w:sz="4" w:space="0"/>
              <w:left w:val="single" w:color="auto" w:sz="4" w:space="0"/>
              <w:bottom w:val="single" w:color="auto" w:sz="4" w:space="0"/>
              <w:right w:val="single" w:color="auto" w:sz="4" w:space="0"/>
            </w:tcBorders>
            <w:vAlign w:val="center"/>
          </w:tcPr>
          <w:p w14:paraId="2E29CB24">
            <w:pPr>
              <w:widowControl/>
              <w:snapToGrid w:val="0"/>
              <w:jc w:val="center"/>
              <w:rPr>
                <w:rFonts w:hint="eastAsia" w:ascii="宋体" w:hAnsi="黑体" w:cs="宋体"/>
                <w:kern w:val="0"/>
                <w:sz w:val="20"/>
                <w:szCs w:val="20"/>
              </w:rPr>
            </w:pPr>
            <w:r>
              <w:rPr>
                <w:rFonts w:hint="eastAsia" w:ascii="宋体" w:hAnsi="宋体" w:cs="宋体"/>
                <w:kern w:val="0"/>
                <w:sz w:val="20"/>
                <w:szCs w:val="20"/>
              </w:rPr>
              <w:t>减温减压器</w:t>
            </w:r>
          </w:p>
        </w:tc>
        <w:tc>
          <w:tcPr>
            <w:tcW w:w="3216" w:type="dxa"/>
            <w:tcBorders>
              <w:top w:val="single" w:color="auto" w:sz="4" w:space="0"/>
              <w:left w:val="single" w:color="auto" w:sz="4" w:space="0"/>
              <w:bottom w:val="single" w:color="auto" w:sz="4" w:space="0"/>
              <w:right w:val="single" w:color="auto" w:sz="4" w:space="0"/>
            </w:tcBorders>
            <w:vAlign w:val="center"/>
          </w:tcPr>
          <w:p w14:paraId="1462F90D">
            <w:pPr>
              <w:widowControl/>
              <w:snapToGrid w:val="0"/>
              <w:jc w:val="left"/>
              <w:rPr>
                <w:rFonts w:hint="eastAsia" w:ascii="宋体" w:hAnsi="黑体" w:cs="宋体"/>
                <w:kern w:val="0"/>
                <w:sz w:val="20"/>
                <w:szCs w:val="20"/>
              </w:rPr>
            </w:pPr>
            <w:r>
              <w:rPr>
                <w:rFonts w:hint="eastAsia" w:ascii="宋体" w:hAnsi="宋体" w:cs="宋体"/>
                <w:kern w:val="0"/>
                <w:sz w:val="20"/>
                <w:szCs w:val="20"/>
              </w:rPr>
              <w:t>蒸汽流量：</w:t>
            </w:r>
            <w:r>
              <w:rPr>
                <w:rFonts w:hint="eastAsia" w:ascii="宋体" w:hAnsi="宋体" w:cs="宋体"/>
                <w:kern w:val="0"/>
                <w:sz w:val="20"/>
                <w:szCs w:val="20"/>
                <w:lang w:val="en-US" w:eastAsia="zh-CN"/>
              </w:rPr>
              <w:t>0.5~2</w:t>
            </w:r>
            <w:r>
              <w:rPr>
                <w:rFonts w:hint="eastAsia" w:ascii="宋体" w:hAnsi="宋体" w:cs="宋体"/>
                <w:kern w:val="0"/>
                <w:sz w:val="20"/>
                <w:szCs w:val="20"/>
              </w:rPr>
              <w:t xml:space="preserve">t/h </w:t>
            </w:r>
          </w:p>
        </w:tc>
        <w:tc>
          <w:tcPr>
            <w:tcW w:w="838" w:type="dxa"/>
            <w:tcBorders>
              <w:top w:val="single" w:color="auto" w:sz="4" w:space="0"/>
              <w:left w:val="single" w:color="auto" w:sz="4" w:space="0"/>
              <w:bottom w:val="single" w:color="auto" w:sz="4" w:space="0"/>
              <w:right w:val="single" w:color="auto" w:sz="4" w:space="0"/>
            </w:tcBorders>
            <w:vAlign w:val="center"/>
          </w:tcPr>
          <w:p w14:paraId="33F91A73">
            <w:pPr>
              <w:widowControl/>
              <w:snapToGrid w:val="0"/>
              <w:jc w:val="left"/>
              <w:rPr>
                <w:rFonts w:hint="eastAsia" w:ascii="宋体" w:hAnsi="黑体" w:cs="宋体"/>
                <w:kern w:val="0"/>
                <w:sz w:val="20"/>
                <w:szCs w:val="20"/>
              </w:rPr>
            </w:pPr>
            <w:r>
              <w:rPr>
                <w:rFonts w:hint="eastAsia" w:ascii="宋体" w:hAnsi="宋体" w:cs="宋体"/>
                <w:kern w:val="0"/>
                <w:sz w:val="20"/>
                <w:szCs w:val="20"/>
              </w:rPr>
              <w:t>1</w:t>
            </w:r>
          </w:p>
        </w:tc>
        <w:tc>
          <w:tcPr>
            <w:tcW w:w="739" w:type="dxa"/>
            <w:tcBorders>
              <w:top w:val="single" w:color="auto" w:sz="4" w:space="0"/>
              <w:left w:val="single" w:color="auto" w:sz="4" w:space="0"/>
              <w:bottom w:val="single" w:color="auto" w:sz="4" w:space="0"/>
              <w:right w:val="single" w:color="auto" w:sz="4" w:space="0"/>
            </w:tcBorders>
            <w:vAlign w:val="center"/>
          </w:tcPr>
          <w:p w14:paraId="7678867D">
            <w:pPr>
              <w:widowControl/>
              <w:snapToGrid w:val="0"/>
              <w:jc w:val="center"/>
              <w:rPr>
                <w:rFonts w:hint="eastAsia" w:ascii="宋体" w:hAnsi="黑体" w:cs="宋体"/>
                <w:kern w:val="0"/>
                <w:sz w:val="20"/>
                <w:szCs w:val="20"/>
              </w:rPr>
            </w:pPr>
          </w:p>
        </w:tc>
        <w:tc>
          <w:tcPr>
            <w:tcW w:w="1158" w:type="dxa"/>
            <w:tcBorders>
              <w:top w:val="single" w:color="auto" w:sz="4" w:space="0"/>
              <w:left w:val="single" w:color="auto" w:sz="4" w:space="0"/>
              <w:bottom w:val="single" w:color="auto" w:sz="4" w:space="0"/>
              <w:right w:val="single" w:color="auto" w:sz="4" w:space="0"/>
            </w:tcBorders>
            <w:vAlign w:val="center"/>
          </w:tcPr>
          <w:p w14:paraId="08CC6C04">
            <w:pPr>
              <w:widowControl/>
              <w:snapToGrid w:val="0"/>
              <w:jc w:val="right"/>
              <w:rPr>
                <w:rFonts w:hint="eastAsia" w:ascii="宋体" w:hAnsi="黑体" w:cs="宋体"/>
                <w:kern w:val="0"/>
                <w:sz w:val="20"/>
                <w:szCs w:val="20"/>
              </w:rPr>
            </w:pPr>
          </w:p>
        </w:tc>
      </w:tr>
      <w:tr w14:paraId="20F89359">
        <w:tblPrEx>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14:paraId="4E3F7E84">
            <w:pPr>
              <w:widowControl/>
              <w:snapToGrid w:val="0"/>
              <w:jc w:val="center"/>
              <w:rPr>
                <w:rFonts w:hint="eastAsia" w:ascii="宋体" w:hAnsi="黑体" w:cs="宋体"/>
                <w:kern w:val="0"/>
                <w:sz w:val="20"/>
                <w:szCs w:val="20"/>
              </w:rPr>
            </w:pPr>
          </w:p>
        </w:tc>
        <w:tc>
          <w:tcPr>
            <w:tcW w:w="0" w:type="auto"/>
            <w:tcBorders>
              <w:top w:val="single" w:color="auto" w:sz="4" w:space="0"/>
              <w:left w:val="single" w:color="auto" w:sz="4" w:space="0"/>
              <w:bottom w:val="single" w:color="auto" w:sz="4" w:space="0"/>
              <w:right w:val="single" w:color="auto" w:sz="4" w:space="0"/>
            </w:tcBorders>
            <w:vAlign w:val="center"/>
          </w:tcPr>
          <w:p w14:paraId="74E5640B">
            <w:pPr>
              <w:widowControl/>
              <w:snapToGrid w:val="0"/>
              <w:jc w:val="center"/>
              <w:rPr>
                <w:rFonts w:hint="eastAsia" w:ascii="宋体" w:hAnsi="黑体" w:cs="宋体"/>
                <w:kern w:val="0"/>
                <w:sz w:val="20"/>
                <w:szCs w:val="20"/>
              </w:rPr>
            </w:pPr>
          </w:p>
        </w:tc>
        <w:tc>
          <w:tcPr>
            <w:tcW w:w="1256" w:type="dxa"/>
            <w:tcBorders>
              <w:top w:val="single" w:color="auto" w:sz="4" w:space="0"/>
              <w:left w:val="single" w:color="auto" w:sz="4" w:space="0"/>
              <w:bottom w:val="single" w:color="auto" w:sz="4" w:space="0"/>
              <w:right w:val="single" w:color="auto" w:sz="4" w:space="0"/>
            </w:tcBorders>
            <w:vAlign w:val="center"/>
          </w:tcPr>
          <w:p w14:paraId="1F3BEEE3">
            <w:pPr>
              <w:widowControl/>
              <w:snapToGrid w:val="0"/>
              <w:jc w:val="center"/>
              <w:rPr>
                <w:rFonts w:hint="eastAsia" w:ascii="宋体" w:hAnsi="黑体" w:cs="宋体"/>
                <w:kern w:val="0"/>
                <w:sz w:val="20"/>
                <w:szCs w:val="20"/>
              </w:rPr>
            </w:pPr>
          </w:p>
        </w:tc>
        <w:tc>
          <w:tcPr>
            <w:tcW w:w="3216" w:type="dxa"/>
            <w:tcBorders>
              <w:top w:val="single" w:color="auto" w:sz="4" w:space="0"/>
              <w:left w:val="single" w:color="auto" w:sz="4" w:space="0"/>
              <w:bottom w:val="single" w:color="auto" w:sz="4" w:space="0"/>
              <w:right w:val="single" w:color="auto" w:sz="4" w:space="0"/>
            </w:tcBorders>
            <w:vAlign w:val="center"/>
          </w:tcPr>
          <w:p w14:paraId="59483BBA">
            <w:pPr>
              <w:widowControl/>
              <w:snapToGrid w:val="0"/>
              <w:jc w:val="left"/>
              <w:rPr>
                <w:rFonts w:hint="eastAsia" w:ascii="宋体" w:hAnsi="黑体" w:cs="宋体"/>
                <w:kern w:val="0"/>
                <w:sz w:val="20"/>
                <w:szCs w:val="20"/>
              </w:rPr>
            </w:pPr>
            <w:r>
              <w:rPr>
                <w:rFonts w:hint="eastAsia" w:ascii="宋体" w:hAnsi="宋体" w:cs="宋体"/>
                <w:kern w:val="0"/>
                <w:sz w:val="20"/>
                <w:szCs w:val="20"/>
              </w:rPr>
              <w:t>初始压力：</w:t>
            </w:r>
            <w:r>
              <w:rPr>
                <w:rFonts w:hint="eastAsia" w:ascii="宋体" w:hAnsi="宋体" w:cs="宋体"/>
                <w:kern w:val="0"/>
                <w:sz w:val="20"/>
                <w:szCs w:val="20"/>
                <w:lang w:val="en-US" w:eastAsia="zh-CN"/>
              </w:rPr>
              <w:t>3.2~</w:t>
            </w:r>
            <w:r>
              <w:rPr>
                <w:rFonts w:hint="eastAsia" w:ascii="宋体" w:hAnsi="宋体" w:cs="宋体"/>
                <w:kern w:val="0"/>
                <w:sz w:val="20"/>
                <w:szCs w:val="20"/>
              </w:rPr>
              <w:t>3.4Mpa</w:t>
            </w:r>
          </w:p>
        </w:tc>
        <w:tc>
          <w:tcPr>
            <w:tcW w:w="838" w:type="dxa"/>
            <w:tcBorders>
              <w:top w:val="single" w:color="auto" w:sz="4" w:space="0"/>
              <w:left w:val="single" w:color="auto" w:sz="4" w:space="0"/>
              <w:bottom w:val="single" w:color="auto" w:sz="4" w:space="0"/>
              <w:right w:val="single" w:color="auto" w:sz="4" w:space="0"/>
            </w:tcBorders>
            <w:vAlign w:val="center"/>
          </w:tcPr>
          <w:p w14:paraId="4328306D">
            <w:pPr>
              <w:widowControl/>
              <w:snapToGrid w:val="0"/>
              <w:jc w:val="left"/>
              <w:rPr>
                <w:rFonts w:hint="eastAsia" w:ascii="宋体" w:hAnsi="黑体" w:cs="宋体"/>
                <w:kern w:val="0"/>
                <w:sz w:val="20"/>
                <w:szCs w:val="20"/>
              </w:rPr>
            </w:pPr>
          </w:p>
        </w:tc>
        <w:tc>
          <w:tcPr>
            <w:tcW w:w="739" w:type="dxa"/>
            <w:tcBorders>
              <w:top w:val="single" w:color="auto" w:sz="4" w:space="0"/>
              <w:left w:val="single" w:color="auto" w:sz="4" w:space="0"/>
              <w:bottom w:val="single" w:color="auto" w:sz="4" w:space="0"/>
              <w:right w:val="single" w:color="auto" w:sz="4" w:space="0"/>
            </w:tcBorders>
            <w:vAlign w:val="center"/>
          </w:tcPr>
          <w:p w14:paraId="77D6A7FA">
            <w:pPr>
              <w:widowControl/>
              <w:snapToGrid w:val="0"/>
              <w:jc w:val="center"/>
              <w:rPr>
                <w:rFonts w:hint="eastAsia" w:ascii="宋体" w:hAnsi="黑体" w:cs="宋体"/>
                <w:kern w:val="0"/>
                <w:sz w:val="20"/>
                <w:szCs w:val="20"/>
              </w:rPr>
            </w:pPr>
          </w:p>
        </w:tc>
        <w:tc>
          <w:tcPr>
            <w:tcW w:w="1158" w:type="dxa"/>
            <w:tcBorders>
              <w:top w:val="single" w:color="auto" w:sz="4" w:space="0"/>
              <w:left w:val="single" w:color="auto" w:sz="4" w:space="0"/>
              <w:bottom w:val="single" w:color="auto" w:sz="4" w:space="0"/>
              <w:right w:val="single" w:color="auto" w:sz="4" w:space="0"/>
            </w:tcBorders>
            <w:vAlign w:val="center"/>
          </w:tcPr>
          <w:p w14:paraId="00F70E9F">
            <w:pPr>
              <w:widowControl/>
              <w:snapToGrid w:val="0"/>
              <w:jc w:val="right"/>
              <w:rPr>
                <w:rFonts w:hint="eastAsia" w:ascii="宋体" w:hAnsi="黑体" w:cs="宋体"/>
                <w:kern w:val="0"/>
                <w:sz w:val="20"/>
                <w:szCs w:val="20"/>
              </w:rPr>
            </w:pPr>
          </w:p>
        </w:tc>
      </w:tr>
      <w:tr w14:paraId="25EA3E9F">
        <w:tblPrEx>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14:paraId="7B398FE7">
            <w:pPr>
              <w:widowControl/>
              <w:snapToGrid w:val="0"/>
              <w:jc w:val="center"/>
              <w:rPr>
                <w:rFonts w:hint="eastAsia" w:ascii="宋体" w:hAnsi="黑体" w:cs="宋体"/>
                <w:kern w:val="0"/>
                <w:sz w:val="20"/>
                <w:szCs w:val="20"/>
              </w:rPr>
            </w:pPr>
          </w:p>
        </w:tc>
        <w:tc>
          <w:tcPr>
            <w:tcW w:w="0" w:type="auto"/>
            <w:tcBorders>
              <w:top w:val="single" w:color="auto" w:sz="4" w:space="0"/>
              <w:left w:val="single" w:color="auto" w:sz="4" w:space="0"/>
              <w:bottom w:val="single" w:color="auto" w:sz="4" w:space="0"/>
              <w:right w:val="single" w:color="auto" w:sz="4" w:space="0"/>
            </w:tcBorders>
            <w:vAlign w:val="center"/>
          </w:tcPr>
          <w:p w14:paraId="6A527CB3">
            <w:pPr>
              <w:widowControl/>
              <w:snapToGrid w:val="0"/>
              <w:jc w:val="center"/>
              <w:rPr>
                <w:rFonts w:hint="eastAsia" w:ascii="宋体" w:hAnsi="黑体" w:cs="宋体"/>
                <w:kern w:val="0"/>
                <w:sz w:val="20"/>
                <w:szCs w:val="20"/>
              </w:rPr>
            </w:pPr>
          </w:p>
        </w:tc>
        <w:tc>
          <w:tcPr>
            <w:tcW w:w="1256" w:type="dxa"/>
            <w:tcBorders>
              <w:top w:val="single" w:color="auto" w:sz="4" w:space="0"/>
              <w:left w:val="single" w:color="auto" w:sz="4" w:space="0"/>
              <w:bottom w:val="single" w:color="auto" w:sz="4" w:space="0"/>
              <w:right w:val="single" w:color="auto" w:sz="4" w:space="0"/>
            </w:tcBorders>
            <w:vAlign w:val="center"/>
          </w:tcPr>
          <w:p w14:paraId="7986D749">
            <w:pPr>
              <w:widowControl/>
              <w:snapToGrid w:val="0"/>
              <w:jc w:val="center"/>
              <w:rPr>
                <w:rFonts w:hint="eastAsia" w:ascii="宋体" w:hAnsi="黑体" w:cs="宋体"/>
                <w:kern w:val="0"/>
                <w:sz w:val="20"/>
                <w:szCs w:val="20"/>
              </w:rPr>
            </w:pPr>
          </w:p>
        </w:tc>
        <w:tc>
          <w:tcPr>
            <w:tcW w:w="3216" w:type="dxa"/>
            <w:tcBorders>
              <w:top w:val="single" w:color="auto" w:sz="4" w:space="0"/>
              <w:left w:val="single" w:color="auto" w:sz="4" w:space="0"/>
              <w:bottom w:val="single" w:color="auto" w:sz="4" w:space="0"/>
              <w:right w:val="single" w:color="auto" w:sz="4" w:space="0"/>
            </w:tcBorders>
            <w:vAlign w:val="center"/>
          </w:tcPr>
          <w:p w14:paraId="44FDF9D0">
            <w:pPr>
              <w:widowControl/>
              <w:snapToGrid w:val="0"/>
              <w:jc w:val="left"/>
              <w:rPr>
                <w:rFonts w:hint="eastAsia" w:ascii="宋体" w:hAnsi="黑体" w:cs="宋体"/>
                <w:kern w:val="0"/>
                <w:sz w:val="20"/>
                <w:szCs w:val="20"/>
              </w:rPr>
            </w:pPr>
            <w:r>
              <w:rPr>
                <w:rFonts w:hint="eastAsia" w:ascii="宋体" w:hAnsi="宋体" w:cs="宋体"/>
                <w:kern w:val="0"/>
                <w:sz w:val="20"/>
                <w:szCs w:val="20"/>
              </w:rPr>
              <w:t>初始温度：400℃</w:t>
            </w:r>
          </w:p>
        </w:tc>
        <w:tc>
          <w:tcPr>
            <w:tcW w:w="838" w:type="dxa"/>
            <w:tcBorders>
              <w:top w:val="single" w:color="auto" w:sz="4" w:space="0"/>
              <w:left w:val="single" w:color="auto" w:sz="4" w:space="0"/>
              <w:bottom w:val="single" w:color="auto" w:sz="4" w:space="0"/>
              <w:right w:val="single" w:color="auto" w:sz="4" w:space="0"/>
            </w:tcBorders>
            <w:vAlign w:val="center"/>
          </w:tcPr>
          <w:p w14:paraId="5E6588C9">
            <w:pPr>
              <w:widowControl/>
              <w:snapToGrid w:val="0"/>
              <w:jc w:val="left"/>
              <w:rPr>
                <w:rFonts w:hint="eastAsia" w:ascii="宋体" w:hAnsi="黑体" w:cs="宋体"/>
                <w:kern w:val="0"/>
                <w:sz w:val="20"/>
                <w:szCs w:val="20"/>
              </w:rPr>
            </w:pPr>
          </w:p>
        </w:tc>
        <w:tc>
          <w:tcPr>
            <w:tcW w:w="739" w:type="dxa"/>
            <w:tcBorders>
              <w:top w:val="single" w:color="auto" w:sz="4" w:space="0"/>
              <w:left w:val="single" w:color="auto" w:sz="4" w:space="0"/>
              <w:bottom w:val="single" w:color="auto" w:sz="4" w:space="0"/>
              <w:right w:val="single" w:color="auto" w:sz="4" w:space="0"/>
            </w:tcBorders>
            <w:vAlign w:val="center"/>
          </w:tcPr>
          <w:p w14:paraId="783D7A42">
            <w:pPr>
              <w:widowControl/>
              <w:snapToGrid w:val="0"/>
              <w:jc w:val="center"/>
              <w:rPr>
                <w:rFonts w:hint="eastAsia" w:ascii="宋体" w:hAnsi="黑体" w:cs="宋体"/>
                <w:kern w:val="0"/>
                <w:sz w:val="20"/>
                <w:szCs w:val="20"/>
              </w:rPr>
            </w:pPr>
          </w:p>
        </w:tc>
        <w:tc>
          <w:tcPr>
            <w:tcW w:w="1158" w:type="dxa"/>
            <w:tcBorders>
              <w:top w:val="single" w:color="auto" w:sz="4" w:space="0"/>
              <w:left w:val="single" w:color="auto" w:sz="4" w:space="0"/>
              <w:bottom w:val="single" w:color="auto" w:sz="4" w:space="0"/>
              <w:right w:val="single" w:color="auto" w:sz="4" w:space="0"/>
            </w:tcBorders>
            <w:vAlign w:val="center"/>
          </w:tcPr>
          <w:p w14:paraId="69881DC0">
            <w:pPr>
              <w:widowControl/>
              <w:snapToGrid w:val="0"/>
              <w:jc w:val="right"/>
              <w:rPr>
                <w:rFonts w:hint="eastAsia" w:ascii="宋体" w:hAnsi="黑体" w:cs="宋体"/>
                <w:kern w:val="0"/>
                <w:sz w:val="20"/>
                <w:szCs w:val="20"/>
              </w:rPr>
            </w:pPr>
          </w:p>
        </w:tc>
      </w:tr>
      <w:tr w14:paraId="38BCA9D0">
        <w:tblPrEx>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14:paraId="26711482">
            <w:pPr>
              <w:widowControl/>
              <w:snapToGrid w:val="0"/>
              <w:jc w:val="center"/>
              <w:rPr>
                <w:rFonts w:hint="eastAsia" w:ascii="宋体" w:hAnsi="黑体" w:cs="宋体"/>
                <w:kern w:val="0"/>
                <w:sz w:val="20"/>
                <w:szCs w:val="20"/>
              </w:rPr>
            </w:pPr>
          </w:p>
        </w:tc>
        <w:tc>
          <w:tcPr>
            <w:tcW w:w="0" w:type="auto"/>
            <w:tcBorders>
              <w:top w:val="single" w:color="auto" w:sz="4" w:space="0"/>
              <w:left w:val="single" w:color="auto" w:sz="4" w:space="0"/>
              <w:bottom w:val="single" w:color="auto" w:sz="4" w:space="0"/>
              <w:right w:val="single" w:color="auto" w:sz="4" w:space="0"/>
            </w:tcBorders>
            <w:vAlign w:val="center"/>
          </w:tcPr>
          <w:p w14:paraId="5B2C8249">
            <w:pPr>
              <w:widowControl/>
              <w:snapToGrid w:val="0"/>
              <w:jc w:val="center"/>
              <w:rPr>
                <w:rFonts w:hint="eastAsia" w:ascii="宋体" w:hAnsi="黑体" w:cs="宋体"/>
                <w:kern w:val="0"/>
                <w:sz w:val="20"/>
                <w:szCs w:val="20"/>
              </w:rPr>
            </w:pPr>
          </w:p>
        </w:tc>
        <w:tc>
          <w:tcPr>
            <w:tcW w:w="1256" w:type="dxa"/>
            <w:tcBorders>
              <w:top w:val="single" w:color="auto" w:sz="4" w:space="0"/>
              <w:left w:val="single" w:color="auto" w:sz="4" w:space="0"/>
              <w:bottom w:val="single" w:color="auto" w:sz="4" w:space="0"/>
              <w:right w:val="single" w:color="auto" w:sz="4" w:space="0"/>
            </w:tcBorders>
            <w:vAlign w:val="center"/>
          </w:tcPr>
          <w:p w14:paraId="558F1A29">
            <w:pPr>
              <w:widowControl/>
              <w:snapToGrid w:val="0"/>
              <w:jc w:val="center"/>
              <w:rPr>
                <w:rFonts w:hint="eastAsia" w:ascii="宋体" w:hAnsi="黑体" w:cs="宋体"/>
                <w:kern w:val="0"/>
                <w:sz w:val="20"/>
                <w:szCs w:val="20"/>
              </w:rPr>
            </w:pPr>
          </w:p>
        </w:tc>
        <w:tc>
          <w:tcPr>
            <w:tcW w:w="3216" w:type="dxa"/>
            <w:tcBorders>
              <w:top w:val="single" w:color="auto" w:sz="4" w:space="0"/>
              <w:left w:val="single" w:color="auto" w:sz="4" w:space="0"/>
              <w:bottom w:val="single" w:color="auto" w:sz="4" w:space="0"/>
              <w:right w:val="single" w:color="auto" w:sz="4" w:space="0"/>
            </w:tcBorders>
            <w:vAlign w:val="center"/>
          </w:tcPr>
          <w:p w14:paraId="6DEB8975">
            <w:pPr>
              <w:widowControl/>
              <w:snapToGrid w:val="0"/>
              <w:jc w:val="left"/>
              <w:rPr>
                <w:rFonts w:hint="eastAsia" w:ascii="宋体" w:hAnsi="黑体" w:cs="宋体"/>
                <w:kern w:val="0"/>
                <w:sz w:val="20"/>
                <w:szCs w:val="20"/>
              </w:rPr>
            </w:pPr>
            <w:r>
              <w:rPr>
                <w:rFonts w:hint="eastAsia" w:ascii="宋体" w:hAnsi="宋体" w:cs="宋体"/>
                <w:kern w:val="0"/>
                <w:sz w:val="20"/>
                <w:szCs w:val="20"/>
              </w:rPr>
              <w:t>减压后压力：2.0Mpa</w:t>
            </w:r>
          </w:p>
        </w:tc>
        <w:tc>
          <w:tcPr>
            <w:tcW w:w="838" w:type="dxa"/>
            <w:tcBorders>
              <w:top w:val="single" w:color="auto" w:sz="4" w:space="0"/>
              <w:left w:val="single" w:color="auto" w:sz="4" w:space="0"/>
              <w:bottom w:val="single" w:color="auto" w:sz="4" w:space="0"/>
              <w:right w:val="single" w:color="auto" w:sz="4" w:space="0"/>
            </w:tcBorders>
            <w:vAlign w:val="center"/>
          </w:tcPr>
          <w:p w14:paraId="0005434C">
            <w:pPr>
              <w:widowControl/>
              <w:snapToGrid w:val="0"/>
              <w:jc w:val="left"/>
              <w:rPr>
                <w:rFonts w:hint="eastAsia" w:ascii="宋体" w:hAnsi="黑体" w:cs="宋体"/>
                <w:kern w:val="0"/>
                <w:sz w:val="20"/>
                <w:szCs w:val="20"/>
              </w:rPr>
            </w:pPr>
          </w:p>
        </w:tc>
        <w:tc>
          <w:tcPr>
            <w:tcW w:w="739" w:type="dxa"/>
            <w:tcBorders>
              <w:top w:val="single" w:color="auto" w:sz="4" w:space="0"/>
              <w:left w:val="single" w:color="auto" w:sz="4" w:space="0"/>
              <w:bottom w:val="single" w:color="auto" w:sz="4" w:space="0"/>
              <w:right w:val="single" w:color="auto" w:sz="4" w:space="0"/>
            </w:tcBorders>
            <w:vAlign w:val="center"/>
          </w:tcPr>
          <w:p w14:paraId="64F35C66">
            <w:pPr>
              <w:widowControl/>
              <w:snapToGrid w:val="0"/>
              <w:jc w:val="center"/>
              <w:rPr>
                <w:rFonts w:hint="eastAsia" w:ascii="宋体" w:hAnsi="黑体" w:cs="宋体"/>
                <w:kern w:val="0"/>
                <w:sz w:val="20"/>
                <w:szCs w:val="20"/>
              </w:rPr>
            </w:pPr>
          </w:p>
        </w:tc>
        <w:tc>
          <w:tcPr>
            <w:tcW w:w="1158" w:type="dxa"/>
            <w:tcBorders>
              <w:top w:val="single" w:color="auto" w:sz="4" w:space="0"/>
              <w:left w:val="single" w:color="auto" w:sz="4" w:space="0"/>
              <w:bottom w:val="single" w:color="auto" w:sz="4" w:space="0"/>
              <w:right w:val="single" w:color="auto" w:sz="4" w:space="0"/>
            </w:tcBorders>
            <w:vAlign w:val="center"/>
          </w:tcPr>
          <w:p w14:paraId="672CB22F">
            <w:pPr>
              <w:widowControl/>
              <w:snapToGrid w:val="0"/>
              <w:jc w:val="right"/>
              <w:rPr>
                <w:rFonts w:hint="eastAsia" w:ascii="宋体" w:hAnsi="黑体" w:cs="宋体"/>
                <w:kern w:val="0"/>
                <w:sz w:val="20"/>
                <w:szCs w:val="20"/>
              </w:rPr>
            </w:pPr>
          </w:p>
        </w:tc>
      </w:tr>
      <w:tr w14:paraId="6B7A0E3F">
        <w:tblPrEx>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14:paraId="38CB6A41">
            <w:pPr>
              <w:widowControl/>
              <w:snapToGrid w:val="0"/>
              <w:jc w:val="center"/>
              <w:rPr>
                <w:rFonts w:hint="eastAsia" w:ascii="宋体" w:hAnsi="黑体" w:cs="宋体"/>
                <w:kern w:val="0"/>
                <w:sz w:val="20"/>
                <w:szCs w:val="20"/>
              </w:rPr>
            </w:pPr>
          </w:p>
        </w:tc>
        <w:tc>
          <w:tcPr>
            <w:tcW w:w="0" w:type="auto"/>
            <w:tcBorders>
              <w:top w:val="single" w:color="auto" w:sz="4" w:space="0"/>
              <w:left w:val="single" w:color="auto" w:sz="4" w:space="0"/>
              <w:bottom w:val="single" w:color="auto" w:sz="4" w:space="0"/>
              <w:right w:val="single" w:color="auto" w:sz="4" w:space="0"/>
            </w:tcBorders>
            <w:vAlign w:val="center"/>
          </w:tcPr>
          <w:p w14:paraId="6EB80359">
            <w:pPr>
              <w:widowControl/>
              <w:snapToGrid w:val="0"/>
              <w:jc w:val="center"/>
              <w:rPr>
                <w:rFonts w:hint="eastAsia" w:ascii="宋体" w:hAnsi="黑体" w:cs="宋体"/>
                <w:kern w:val="0"/>
                <w:sz w:val="20"/>
                <w:szCs w:val="20"/>
              </w:rPr>
            </w:pPr>
          </w:p>
        </w:tc>
        <w:tc>
          <w:tcPr>
            <w:tcW w:w="1256" w:type="dxa"/>
            <w:tcBorders>
              <w:top w:val="single" w:color="auto" w:sz="4" w:space="0"/>
              <w:left w:val="single" w:color="auto" w:sz="4" w:space="0"/>
              <w:bottom w:val="single" w:color="auto" w:sz="4" w:space="0"/>
              <w:right w:val="single" w:color="auto" w:sz="4" w:space="0"/>
            </w:tcBorders>
            <w:vAlign w:val="center"/>
          </w:tcPr>
          <w:p w14:paraId="24654EF7">
            <w:pPr>
              <w:widowControl/>
              <w:snapToGrid w:val="0"/>
              <w:jc w:val="center"/>
              <w:rPr>
                <w:rFonts w:hint="eastAsia" w:ascii="宋体" w:hAnsi="黑体" w:cs="宋体"/>
                <w:kern w:val="0"/>
                <w:sz w:val="20"/>
                <w:szCs w:val="20"/>
              </w:rPr>
            </w:pPr>
          </w:p>
        </w:tc>
        <w:tc>
          <w:tcPr>
            <w:tcW w:w="3216" w:type="dxa"/>
            <w:tcBorders>
              <w:top w:val="single" w:color="auto" w:sz="4" w:space="0"/>
              <w:left w:val="single" w:color="auto" w:sz="4" w:space="0"/>
              <w:bottom w:val="single" w:color="auto" w:sz="4" w:space="0"/>
              <w:right w:val="single" w:color="auto" w:sz="4" w:space="0"/>
            </w:tcBorders>
            <w:vAlign w:val="center"/>
          </w:tcPr>
          <w:p w14:paraId="5D932748">
            <w:pPr>
              <w:widowControl/>
              <w:snapToGrid w:val="0"/>
              <w:jc w:val="left"/>
              <w:rPr>
                <w:rFonts w:hint="eastAsia" w:ascii="宋体" w:hAnsi="宋体" w:cs="宋体"/>
                <w:kern w:val="0"/>
                <w:sz w:val="20"/>
                <w:szCs w:val="20"/>
              </w:rPr>
            </w:pPr>
            <w:r>
              <w:rPr>
                <w:rFonts w:hint="eastAsia" w:ascii="宋体" w:hAnsi="宋体" w:cs="宋体"/>
                <w:kern w:val="0"/>
                <w:sz w:val="20"/>
                <w:szCs w:val="20"/>
              </w:rPr>
              <w:t>减温后温度：255℃</w:t>
            </w:r>
          </w:p>
        </w:tc>
        <w:tc>
          <w:tcPr>
            <w:tcW w:w="838" w:type="dxa"/>
            <w:tcBorders>
              <w:top w:val="single" w:color="auto" w:sz="4" w:space="0"/>
              <w:left w:val="single" w:color="auto" w:sz="4" w:space="0"/>
              <w:bottom w:val="single" w:color="auto" w:sz="4" w:space="0"/>
              <w:right w:val="single" w:color="auto" w:sz="4" w:space="0"/>
            </w:tcBorders>
            <w:vAlign w:val="center"/>
          </w:tcPr>
          <w:p w14:paraId="7156CEEB">
            <w:pPr>
              <w:widowControl/>
              <w:snapToGrid w:val="0"/>
              <w:jc w:val="left"/>
              <w:rPr>
                <w:rFonts w:hint="eastAsia" w:ascii="宋体" w:hAnsi="黑体" w:cs="宋体"/>
                <w:kern w:val="0"/>
                <w:sz w:val="20"/>
                <w:szCs w:val="20"/>
              </w:rPr>
            </w:pPr>
          </w:p>
        </w:tc>
        <w:tc>
          <w:tcPr>
            <w:tcW w:w="739" w:type="dxa"/>
            <w:tcBorders>
              <w:top w:val="single" w:color="auto" w:sz="4" w:space="0"/>
              <w:left w:val="single" w:color="auto" w:sz="4" w:space="0"/>
              <w:bottom w:val="single" w:color="auto" w:sz="4" w:space="0"/>
              <w:right w:val="single" w:color="auto" w:sz="4" w:space="0"/>
            </w:tcBorders>
            <w:vAlign w:val="center"/>
          </w:tcPr>
          <w:p w14:paraId="2A4CFE71">
            <w:pPr>
              <w:widowControl/>
              <w:snapToGrid w:val="0"/>
              <w:jc w:val="center"/>
              <w:rPr>
                <w:rFonts w:hint="eastAsia" w:ascii="宋体" w:hAnsi="黑体" w:cs="宋体"/>
                <w:kern w:val="0"/>
                <w:sz w:val="20"/>
                <w:szCs w:val="20"/>
              </w:rPr>
            </w:pPr>
          </w:p>
        </w:tc>
        <w:tc>
          <w:tcPr>
            <w:tcW w:w="1158" w:type="dxa"/>
            <w:tcBorders>
              <w:top w:val="single" w:color="auto" w:sz="4" w:space="0"/>
              <w:left w:val="single" w:color="auto" w:sz="4" w:space="0"/>
              <w:bottom w:val="single" w:color="auto" w:sz="4" w:space="0"/>
              <w:right w:val="single" w:color="auto" w:sz="4" w:space="0"/>
            </w:tcBorders>
            <w:vAlign w:val="center"/>
          </w:tcPr>
          <w:p w14:paraId="66C9EC45">
            <w:pPr>
              <w:widowControl/>
              <w:snapToGrid w:val="0"/>
              <w:jc w:val="right"/>
              <w:rPr>
                <w:rFonts w:hint="eastAsia" w:ascii="宋体" w:hAnsi="黑体" w:cs="宋体"/>
                <w:kern w:val="0"/>
                <w:sz w:val="20"/>
                <w:szCs w:val="20"/>
              </w:rPr>
            </w:pPr>
          </w:p>
        </w:tc>
      </w:tr>
      <w:tr w14:paraId="2ED4B685">
        <w:tblPrEx>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14:paraId="44817867">
            <w:pPr>
              <w:widowControl/>
              <w:snapToGrid w:val="0"/>
              <w:jc w:val="center"/>
              <w:rPr>
                <w:rFonts w:hint="eastAsia" w:ascii="宋体" w:hAnsi="黑体" w:cs="宋体"/>
                <w:kern w:val="0"/>
                <w:sz w:val="20"/>
                <w:szCs w:val="20"/>
              </w:rPr>
            </w:pPr>
          </w:p>
        </w:tc>
        <w:tc>
          <w:tcPr>
            <w:tcW w:w="0" w:type="auto"/>
            <w:tcBorders>
              <w:top w:val="single" w:color="auto" w:sz="4" w:space="0"/>
              <w:left w:val="single" w:color="auto" w:sz="4" w:space="0"/>
              <w:bottom w:val="single" w:color="auto" w:sz="4" w:space="0"/>
              <w:right w:val="single" w:color="auto" w:sz="4" w:space="0"/>
            </w:tcBorders>
            <w:vAlign w:val="center"/>
          </w:tcPr>
          <w:p w14:paraId="35F4E873">
            <w:pPr>
              <w:widowControl/>
              <w:snapToGrid w:val="0"/>
              <w:jc w:val="center"/>
              <w:rPr>
                <w:rFonts w:hint="eastAsia" w:ascii="宋体" w:hAnsi="黑体" w:cs="宋体"/>
                <w:kern w:val="0"/>
                <w:sz w:val="20"/>
                <w:szCs w:val="20"/>
              </w:rPr>
            </w:pPr>
          </w:p>
        </w:tc>
        <w:tc>
          <w:tcPr>
            <w:tcW w:w="1256" w:type="dxa"/>
            <w:tcBorders>
              <w:top w:val="single" w:color="auto" w:sz="4" w:space="0"/>
              <w:left w:val="single" w:color="auto" w:sz="4" w:space="0"/>
              <w:bottom w:val="single" w:color="auto" w:sz="4" w:space="0"/>
              <w:right w:val="single" w:color="auto" w:sz="4" w:space="0"/>
            </w:tcBorders>
            <w:vAlign w:val="center"/>
          </w:tcPr>
          <w:p w14:paraId="0F86663D">
            <w:pPr>
              <w:widowControl/>
              <w:snapToGrid w:val="0"/>
              <w:jc w:val="center"/>
              <w:rPr>
                <w:rFonts w:hint="eastAsia" w:ascii="宋体" w:hAnsi="黑体" w:cs="宋体"/>
                <w:kern w:val="0"/>
                <w:sz w:val="20"/>
                <w:szCs w:val="20"/>
              </w:rPr>
            </w:pPr>
            <w:r>
              <w:rPr>
                <w:rFonts w:hint="eastAsia" w:ascii="宋体" w:hAnsi="宋体" w:cs="宋体"/>
                <w:kern w:val="0"/>
                <w:sz w:val="20"/>
                <w:szCs w:val="20"/>
              </w:rPr>
              <w:t>减温水泵</w:t>
            </w:r>
          </w:p>
        </w:tc>
        <w:tc>
          <w:tcPr>
            <w:tcW w:w="3216" w:type="dxa"/>
            <w:tcBorders>
              <w:top w:val="single" w:color="auto" w:sz="4" w:space="0"/>
              <w:left w:val="single" w:color="auto" w:sz="4" w:space="0"/>
              <w:bottom w:val="single" w:color="auto" w:sz="4" w:space="0"/>
              <w:right w:val="single" w:color="auto" w:sz="4" w:space="0"/>
            </w:tcBorders>
            <w:vAlign w:val="center"/>
          </w:tcPr>
          <w:p w14:paraId="320CD933">
            <w:pPr>
              <w:widowControl/>
              <w:snapToGrid w:val="0"/>
              <w:jc w:val="left"/>
              <w:rPr>
                <w:rFonts w:hint="eastAsia" w:ascii="宋体" w:hAnsi="宋体" w:cs="宋体"/>
                <w:kern w:val="0"/>
                <w:sz w:val="20"/>
                <w:szCs w:val="20"/>
              </w:rPr>
            </w:pPr>
            <w:r>
              <w:rPr>
                <w:rFonts w:hint="eastAsia" w:ascii="宋体" w:hAnsi="宋体" w:cs="宋体"/>
                <w:kern w:val="0"/>
                <w:sz w:val="20"/>
                <w:szCs w:val="20"/>
              </w:rPr>
              <w:t>型号：</w:t>
            </w:r>
          </w:p>
        </w:tc>
        <w:tc>
          <w:tcPr>
            <w:tcW w:w="838" w:type="dxa"/>
            <w:tcBorders>
              <w:top w:val="single" w:color="auto" w:sz="4" w:space="0"/>
              <w:left w:val="single" w:color="auto" w:sz="4" w:space="0"/>
              <w:bottom w:val="single" w:color="auto" w:sz="4" w:space="0"/>
              <w:right w:val="single" w:color="auto" w:sz="4" w:space="0"/>
            </w:tcBorders>
            <w:vAlign w:val="center"/>
          </w:tcPr>
          <w:p w14:paraId="31F5455B">
            <w:pPr>
              <w:widowControl/>
              <w:snapToGrid w:val="0"/>
              <w:jc w:val="left"/>
              <w:rPr>
                <w:rFonts w:hint="eastAsia" w:ascii="宋体" w:hAnsi="黑体" w:cs="宋体"/>
                <w:kern w:val="0"/>
                <w:sz w:val="20"/>
                <w:szCs w:val="20"/>
              </w:rPr>
            </w:pPr>
            <w:r>
              <w:rPr>
                <w:rFonts w:hint="eastAsia" w:ascii="宋体" w:hAnsi="宋体" w:cs="宋体"/>
                <w:kern w:val="0"/>
                <w:sz w:val="20"/>
                <w:szCs w:val="20"/>
              </w:rPr>
              <w:t>2</w:t>
            </w:r>
          </w:p>
        </w:tc>
        <w:tc>
          <w:tcPr>
            <w:tcW w:w="739" w:type="dxa"/>
            <w:tcBorders>
              <w:top w:val="single" w:color="auto" w:sz="4" w:space="0"/>
              <w:left w:val="single" w:color="auto" w:sz="4" w:space="0"/>
              <w:bottom w:val="single" w:color="auto" w:sz="4" w:space="0"/>
              <w:right w:val="single" w:color="auto" w:sz="4" w:space="0"/>
            </w:tcBorders>
            <w:vAlign w:val="center"/>
          </w:tcPr>
          <w:p w14:paraId="29728702">
            <w:pPr>
              <w:widowControl/>
              <w:snapToGrid w:val="0"/>
              <w:jc w:val="center"/>
              <w:rPr>
                <w:rFonts w:hint="eastAsia" w:ascii="宋体" w:hAnsi="黑体" w:cs="宋体"/>
                <w:kern w:val="0"/>
                <w:sz w:val="20"/>
                <w:szCs w:val="20"/>
              </w:rPr>
            </w:pPr>
          </w:p>
        </w:tc>
        <w:tc>
          <w:tcPr>
            <w:tcW w:w="1158" w:type="dxa"/>
            <w:tcBorders>
              <w:top w:val="single" w:color="auto" w:sz="4" w:space="0"/>
              <w:left w:val="single" w:color="auto" w:sz="4" w:space="0"/>
              <w:bottom w:val="single" w:color="auto" w:sz="4" w:space="0"/>
              <w:right w:val="single" w:color="auto" w:sz="4" w:space="0"/>
            </w:tcBorders>
            <w:vAlign w:val="center"/>
          </w:tcPr>
          <w:p w14:paraId="29B20E20">
            <w:pPr>
              <w:widowControl/>
              <w:snapToGrid w:val="0"/>
              <w:jc w:val="right"/>
              <w:rPr>
                <w:rFonts w:hint="eastAsia" w:ascii="宋体" w:hAnsi="黑体" w:cs="宋体"/>
                <w:kern w:val="0"/>
                <w:sz w:val="20"/>
                <w:szCs w:val="20"/>
              </w:rPr>
            </w:pPr>
            <w:r>
              <w:rPr>
                <w:rFonts w:hint="eastAsia" w:ascii="宋体" w:hAnsi="等线" w:cs="宋体"/>
                <w:color w:val="000000"/>
                <w:kern w:val="0"/>
                <w:sz w:val="20"/>
                <w:szCs w:val="20"/>
              </w:rPr>
              <w:t>配套采购</w:t>
            </w:r>
          </w:p>
        </w:tc>
      </w:tr>
      <w:tr w14:paraId="3AAE8259">
        <w:tblPrEx>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14:paraId="316ADE70">
            <w:pPr>
              <w:widowControl/>
              <w:snapToGrid w:val="0"/>
              <w:jc w:val="center"/>
              <w:rPr>
                <w:rFonts w:hint="eastAsia" w:ascii="宋体" w:hAnsi="黑体" w:cs="宋体"/>
                <w:kern w:val="0"/>
                <w:sz w:val="20"/>
                <w:szCs w:val="20"/>
              </w:rPr>
            </w:pPr>
          </w:p>
        </w:tc>
        <w:tc>
          <w:tcPr>
            <w:tcW w:w="0" w:type="auto"/>
            <w:tcBorders>
              <w:top w:val="single" w:color="auto" w:sz="4" w:space="0"/>
              <w:left w:val="single" w:color="auto" w:sz="4" w:space="0"/>
              <w:bottom w:val="single" w:color="auto" w:sz="4" w:space="0"/>
              <w:right w:val="single" w:color="auto" w:sz="4" w:space="0"/>
            </w:tcBorders>
            <w:vAlign w:val="center"/>
          </w:tcPr>
          <w:p w14:paraId="6BE44B85">
            <w:pPr>
              <w:widowControl/>
              <w:snapToGrid w:val="0"/>
              <w:jc w:val="center"/>
              <w:rPr>
                <w:rFonts w:hint="eastAsia" w:ascii="宋体" w:hAnsi="黑体" w:cs="宋体"/>
                <w:kern w:val="0"/>
                <w:sz w:val="20"/>
                <w:szCs w:val="20"/>
              </w:rPr>
            </w:pPr>
          </w:p>
        </w:tc>
        <w:tc>
          <w:tcPr>
            <w:tcW w:w="1256" w:type="dxa"/>
            <w:tcBorders>
              <w:top w:val="single" w:color="auto" w:sz="4" w:space="0"/>
              <w:left w:val="single" w:color="auto" w:sz="4" w:space="0"/>
              <w:bottom w:val="single" w:color="auto" w:sz="4" w:space="0"/>
              <w:right w:val="single" w:color="auto" w:sz="4" w:space="0"/>
            </w:tcBorders>
            <w:vAlign w:val="center"/>
          </w:tcPr>
          <w:p w14:paraId="30322F8B">
            <w:pPr>
              <w:widowControl/>
              <w:snapToGrid w:val="0"/>
              <w:jc w:val="center"/>
              <w:rPr>
                <w:rFonts w:hint="eastAsia" w:ascii="宋体" w:hAnsi="黑体" w:cs="宋体"/>
                <w:kern w:val="0"/>
                <w:sz w:val="20"/>
                <w:szCs w:val="20"/>
              </w:rPr>
            </w:pPr>
          </w:p>
        </w:tc>
        <w:tc>
          <w:tcPr>
            <w:tcW w:w="3216" w:type="dxa"/>
            <w:tcBorders>
              <w:top w:val="single" w:color="auto" w:sz="4" w:space="0"/>
              <w:left w:val="single" w:color="auto" w:sz="4" w:space="0"/>
              <w:bottom w:val="single" w:color="auto" w:sz="4" w:space="0"/>
              <w:right w:val="single" w:color="auto" w:sz="4" w:space="0"/>
            </w:tcBorders>
            <w:vAlign w:val="center"/>
          </w:tcPr>
          <w:p w14:paraId="1056B5A6">
            <w:pPr>
              <w:widowControl/>
              <w:snapToGrid w:val="0"/>
              <w:jc w:val="left"/>
              <w:rPr>
                <w:rFonts w:hint="eastAsia" w:ascii="宋体" w:hAnsi="宋体" w:cs="宋体"/>
                <w:kern w:val="0"/>
                <w:sz w:val="20"/>
                <w:szCs w:val="20"/>
              </w:rPr>
            </w:pPr>
            <w:r>
              <w:rPr>
                <w:rFonts w:hint="eastAsia" w:ascii="宋体" w:hAnsi="宋体" w:cs="宋体"/>
                <w:kern w:val="0"/>
                <w:sz w:val="20"/>
                <w:szCs w:val="20"/>
              </w:rPr>
              <w:t>减温水温度：90℃</w:t>
            </w:r>
          </w:p>
        </w:tc>
        <w:tc>
          <w:tcPr>
            <w:tcW w:w="838" w:type="dxa"/>
            <w:tcBorders>
              <w:top w:val="single" w:color="auto" w:sz="4" w:space="0"/>
              <w:left w:val="single" w:color="auto" w:sz="4" w:space="0"/>
              <w:bottom w:val="single" w:color="auto" w:sz="4" w:space="0"/>
              <w:right w:val="single" w:color="auto" w:sz="4" w:space="0"/>
            </w:tcBorders>
            <w:vAlign w:val="center"/>
          </w:tcPr>
          <w:p w14:paraId="69836616">
            <w:pPr>
              <w:widowControl/>
              <w:snapToGrid w:val="0"/>
              <w:jc w:val="left"/>
              <w:rPr>
                <w:rFonts w:hint="eastAsia" w:ascii="宋体" w:hAnsi="黑体" w:cs="宋体"/>
                <w:kern w:val="0"/>
                <w:sz w:val="20"/>
                <w:szCs w:val="20"/>
              </w:rPr>
            </w:pPr>
          </w:p>
        </w:tc>
        <w:tc>
          <w:tcPr>
            <w:tcW w:w="739" w:type="dxa"/>
            <w:tcBorders>
              <w:top w:val="single" w:color="auto" w:sz="4" w:space="0"/>
              <w:left w:val="single" w:color="auto" w:sz="4" w:space="0"/>
              <w:bottom w:val="single" w:color="auto" w:sz="4" w:space="0"/>
              <w:right w:val="single" w:color="auto" w:sz="4" w:space="0"/>
            </w:tcBorders>
            <w:vAlign w:val="center"/>
          </w:tcPr>
          <w:p w14:paraId="70F05073">
            <w:pPr>
              <w:widowControl/>
              <w:snapToGrid w:val="0"/>
              <w:jc w:val="center"/>
              <w:rPr>
                <w:rFonts w:hint="eastAsia" w:ascii="宋体" w:hAnsi="黑体" w:cs="宋体"/>
                <w:kern w:val="0"/>
                <w:sz w:val="20"/>
                <w:szCs w:val="20"/>
              </w:rPr>
            </w:pPr>
          </w:p>
        </w:tc>
        <w:tc>
          <w:tcPr>
            <w:tcW w:w="1158" w:type="dxa"/>
            <w:tcBorders>
              <w:top w:val="single" w:color="auto" w:sz="4" w:space="0"/>
              <w:left w:val="single" w:color="auto" w:sz="4" w:space="0"/>
              <w:bottom w:val="single" w:color="auto" w:sz="4" w:space="0"/>
              <w:right w:val="single" w:color="auto" w:sz="4" w:space="0"/>
            </w:tcBorders>
            <w:vAlign w:val="center"/>
          </w:tcPr>
          <w:p w14:paraId="4E4B52A6">
            <w:pPr>
              <w:widowControl/>
              <w:snapToGrid w:val="0"/>
              <w:jc w:val="right"/>
              <w:rPr>
                <w:rFonts w:hint="eastAsia" w:ascii="宋体" w:hAnsi="等线" w:cs="宋体"/>
                <w:color w:val="000000"/>
                <w:kern w:val="0"/>
                <w:sz w:val="20"/>
                <w:szCs w:val="20"/>
              </w:rPr>
            </w:pPr>
          </w:p>
        </w:tc>
      </w:tr>
      <w:tr w14:paraId="38728C8C">
        <w:tblPrEx>
          <w:tblCellMar>
            <w:top w:w="0" w:type="dxa"/>
            <w:left w:w="108" w:type="dxa"/>
            <w:bottom w:w="0" w:type="dxa"/>
            <w:right w:w="108" w:type="dxa"/>
          </w:tblCellMar>
        </w:tblPrEx>
        <w:trPr>
          <w:jc w:val="center"/>
        </w:trPr>
        <w:tc>
          <w:tcPr>
            <w:tcW w:w="523" w:type="dxa"/>
            <w:tcBorders>
              <w:top w:val="single" w:color="auto" w:sz="4" w:space="0"/>
              <w:left w:val="single" w:color="auto" w:sz="4" w:space="0"/>
              <w:bottom w:val="single" w:color="auto" w:sz="4" w:space="0"/>
              <w:right w:val="single" w:color="auto" w:sz="4" w:space="0"/>
            </w:tcBorders>
            <w:vAlign w:val="center"/>
          </w:tcPr>
          <w:p w14:paraId="53CB5437">
            <w:pPr>
              <w:widowControl/>
              <w:snapToGrid w:val="0"/>
              <w:jc w:val="center"/>
              <w:rPr>
                <w:rFonts w:hint="eastAsia" w:ascii="宋体" w:hAnsi="宋体" w:cs="宋体"/>
                <w:kern w:val="0"/>
                <w:sz w:val="20"/>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3A6AB18D">
            <w:pPr>
              <w:widowControl/>
              <w:snapToGrid w:val="0"/>
              <w:jc w:val="center"/>
              <w:rPr>
                <w:rFonts w:hint="eastAsia" w:ascii="宋体" w:hAnsi="宋体" w:cs="宋体"/>
                <w:kern w:val="0"/>
                <w:sz w:val="20"/>
                <w:szCs w:val="20"/>
              </w:rPr>
            </w:pPr>
          </w:p>
        </w:tc>
        <w:tc>
          <w:tcPr>
            <w:tcW w:w="1256" w:type="dxa"/>
            <w:tcBorders>
              <w:top w:val="single" w:color="auto" w:sz="4" w:space="0"/>
              <w:left w:val="single" w:color="auto" w:sz="4" w:space="0"/>
              <w:bottom w:val="single" w:color="auto" w:sz="4" w:space="0"/>
              <w:right w:val="single" w:color="auto" w:sz="4" w:space="0"/>
            </w:tcBorders>
            <w:vAlign w:val="center"/>
          </w:tcPr>
          <w:p w14:paraId="2A2A3375">
            <w:pPr>
              <w:widowControl/>
              <w:snapToGrid w:val="0"/>
              <w:jc w:val="center"/>
              <w:rPr>
                <w:rFonts w:hint="eastAsia" w:ascii="宋体" w:hAnsi="宋体" w:cs="宋体"/>
                <w:kern w:val="0"/>
                <w:sz w:val="20"/>
                <w:szCs w:val="20"/>
              </w:rPr>
            </w:pPr>
          </w:p>
        </w:tc>
        <w:tc>
          <w:tcPr>
            <w:tcW w:w="3216" w:type="dxa"/>
            <w:tcBorders>
              <w:top w:val="single" w:color="auto" w:sz="4" w:space="0"/>
              <w:left w:val="single" w:color="auto" w:sz="4" w:space="0"/>
              <w:bottom w:val="single" w:color="auto" w:sz="4" w:space="0"/>
              <w:right w:val="single" w:color="auto" w:sz="4" w:space="0"/>
            </w:tcBorders>
            <w:vAlign w:val="center"/>
          </w:tcPr>
          <w:p w14:paraId="3004E30D">
            <w:pPr>
              <w:widowControl/>
              <w:snapToGrid w:val="0"/>
              <w:jc w:val="left"/>
              <w:rPr>
                <w:rFonts w:hint="eastAsia" w:ascii="宋体" w:hAnsi="宋体" w:cs="宋体"/>
                <w:kern w:val="0"/>
                <w:sz w:val="20"/>
                <w:szCs w:val="20"/>
              </w:rPr>
            </w:pPr>
            <w:r>
              <w:rPr>
                <w:rFonts w:hint="eastAsia" w:ascii="宋体" w:hAnsi="宋体" w:cs="宋体"/>
                <w:kern w:val="0"/>
                <w:sz w:val="20"/>
                <w:szCs w:val="20"/>
              </w:rPr>
              <w:t>减温水压力：0.8Mpa</w:t>
            </w:r>
          </w:p>
        </w:tc>
        <w:tc>
          <w:tcPr>
            <w:tcW w:w="838" w:type="dxa"/>
            <w:tcBorders>
              <w:top w:val="single" w:color="auto" w:sz="4" w:space="0"/>
              <w:left w:val="single" w:color="auto" w:sz="4" w:space="0"/>
              <w:bottom w:val="single" w:color="auto" w:sz="4" w:space="0"/>
              <w:right w:val="single" w:color="auto" w:sz="4" w:space="0"/>
            </w:tcBorders>
            <w:vAlign w:val="center"/>
          </w:tcPr>
          <w:p w14:paraId="46873181">
            <w:pPr>
              <w:widowControl/>
              <w:snapToGrid w:val="0"/>
              <w:jc w:val="left"/>
              <w:rPr>
                <w:rFonts w:hint="eastAsia" w:ascii="宋体" w:hAnsi="宋体" w:cs="宋体"/>
                <w:kern w:val="0"/>
                <w:sz w:val="20"/>
                <w:szCs w:val="20"/>
              </w:rPr>
            </w:pPr>
          </w:p>
        </w:tc>
        <w:tc>
          <w:tcPr>
            <w:tcW w:w="739" w:type="dxa"/>
            <w:tcBorders>
              <w:top w:val="single" w:color="auto" w:sz="4" w:space="0"/>
              <w:left w:val="single" w:color="auto" w:sz="4" w:space="0"/>
              <w:bottom w:val="single" w:color="auto" w:sz="4" w:space="0"/>
              <w:right w:val="single" w:color="auto" w:sz="4" w:space="0"/>
            </w:tcBorders>
            <w:vAlign w:val="center"/>
          </w:tcPr>
          <w:p w14:paraId="4B82FC27">
            <w:pPr>
              <w:widowControl/>
              <w:snapToGrid w:val="0"/>
              <w:jc w:val="center"/>
              <w:rPr>
                <w:rFonts w:hint="eastAsia" w:ascii="宋体" w:hAnsi="宋体" w:cs="宋体"/>
                <w:kern w:val="0"/>
                <w:sz w:val="20"/>
                <w:szCs w:val="20"/>
              </w:rPr>
            </w:pPr>
          </w:p>
        </w:tc>
        <w:tc>
          <w:tcPr>
            <w:tcW w:w="1158" w:type="dxa"/>
            <w:tcBorders>
              <w:top w:val="single" w:color="auto" w:sz="4" w:space="0"/>
              <w:left w:val="single" w:color="auto" w:sz="4" w:space="0"/>
              <w:bottom w:val="single" w:color="auto" w:sz="4" w:space="0"/>
              <w:right w:val="single" w:color="auto" w:sz="4" w:space="0"/>
            </w:tcBorders>
            <w:vAlign w:val="center"/>
          </w:tcPr>
          <w:p w14:paraId="7B103949">
            <w:pPr>
              <w:widowControl/>
              <w:snapToGrid w:val="0"/>
              <w:jc w:val="right"/>
              <w:rPr>
                <w:rFonts w:hint="eastAsia" w:ascii="宋体" w:hAnsi="宋体" w:cs="宋体"/>
                <w:kern w:val="0"/>
                <w:sz w:val="20"/>
                <w:szCs w:val="20"/>
              </w:rPr>
            </w:pPr>
          </w:p>
        </w:tc>
      </w:tr>
      <w:tr w14:paraId="3D2C9AF8">
        <w:tblPrEx>
          <w:tblCellMar>
            <w:top w:w="0" w:type="dxa"/>
            <w:left w:w="108" w:type="dxa"/>
            <w:bottom w:w="0" w:type="dxa"/>
            <w:right w:w="108" w:type="dxa"/>
          </w:tblCellMar>
        </w:tblPrEx>
        <w:trPr>
          <w:jc w:val="center"/>
        </w:trPr>
        <w:tc>
          <w:tcPr>
            <w:tcW w:w="523" w:type="dxa"/>
            <w:tcBorders>
              <w:top w:val="single" w:color="auto" w:sz="4" w:space="0"/>
              <w:left w:val="single" w:color="auto" w:sz="4" w:space="0"/>
              <w:bottom w:val="single" w:color="auto" w:sz="4" w:space="0"/>
              <w:right w:val="single" w:color="auto" w:sz="4" w:space="0"/>
            </w:tcBorders>
            <w:vAlign w:val="center"/>
          </w:tcPr>
          <w:p w14:paraId="6D708397">
            <w:pPr>
              <w:widowControl/>
              <w:snapToGrid w:val="0"/>
              <w:jc w:val="center"/>
              <w:rPr>
                <w:rFonts w:hint="eastAsia" w:ascii="宋体" w:hAnsi="宋体" w:cs="宋体"/>
                <w:kern w:val="0"/>
                <w:sz w:val="20"/>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10751A9D">
            <w:pPr>
              <w:widowControl/>
              <w:snapToGrid w:val="0"/>
              <w:jc w:val="center"/>
              <w:rPr>
                <w:rFonts w:hint="eastAsia" w:ascii="宋体" w:hAnsi="宋体" w:cs="宋体"/>
                <w:kern w:val="0"/>
                <w:sz w:val="20"/>
                <w:szCs w:val="20"/>
              </w:rPr>
            </w:pPr>
          </w:p>
        </w:tc>
        <w:tc>
          <w:tcPr>
            <w:tcW w:w="1256" w:type="dxa"/>
            <w:tcBorders>
              <w:top w:val="single" w:color="auto" w:sz="4" w:space="0"/>
              <w:left w:val="single" w:color="auto" w:sz="4" w:space="0"/>
              <w:bottom w:val="single" w:color="auto" w:sz="4" w:space="0"/>
              <w:right w:val="single" w:color="auto" w:sz="4" w:space="0"/>
            </w:tcBorders>
            <w:vAlign w:val="center"/>
          </w:tcPr>
          <w:p w14:paraId="778ABC18">
            <w:pPr>
              <w:widowControl/>
              <w:snapToGrid w:val="0"/>
              <w:jc w:val="center"/>
              <w:rPr>
                <w:rFonts w:hint="eastAsia" w:ascii="宋体" w:hAnsi="宋体" w:cs="宋体"/>
                <w:kern w:val="0"/>
                <w:sz w:val="20"/>
                <w:szCs w:val="20"/>
              </w:rPr>
            </w:pPr>
          </w:p>
        </w:tc>
        <w:tc>
          <w:tcPr>
            <w:tcW w:w="3216" w:type="dxa"/>
            <w:tcBorders>
              <w:top w:val="single" w:color="auto" w:sz="4" w:space="0"/>
              <w:left w:val="single" w:color="auto" w:sz="4" w:space="0"/>
              <w:bottom w:val="single" w:color="auto" w:sz="4" w:space="0"/>
              <w:right w:val="single" w:color="auto" w:sz="4" w:space="0"/>
            </w:tcBorders>
            <w:vAlign w:val="center"/>
          </w:tcPr>
          <w:p w14:paraId="205ED45D">
            <w:pPr>
              <w:widowControl/>
              <w:snapToGrid w:val="0"/>
              <w:jc w:val="left"/>
              <w:rPr>
                <w:rFonts w:hint="eastAsia" w:ascii="宋体" w:hAnsi="宋体" w:cs="宋体"/>
                <w:kern w:val="0"/>
                <w:sz w:val="20"/>
                <w:szCs w:val="20"/>
              </w:rPr>
            </w:pPr>
            <w:r>
              <w:rPr>
                <w:rFonts w:hint="eastAsia" w:ascii="宋体" w:hAnsi="宋体" w:cs="宋体"/>
                <w:kern w:val="0"/>
                <w:sz w:val="20"/>
                <w:szCs w:val="20"/>
              </w:rPr>
              <w:t>功率：</w:t>
            </w:r>
          </w:p>
        </w:tc>
        <w:tc>
          <w:tcPr>
            <w:tcW w:w="838" w:type="dxa"/>
            <w:tcBorders>
              <w:top w:val="single" w:color="auto" w:sz="4" w:space="0"/>
              <w:left w:val="single" w:color="auto" w:sz="4" w:space="0"/>
              <w:bottom w:val="single" w:color="auto" w:sz="4" w:space="0"/>
              <w:right w:val="single" w:color="auto" w:sz="4" w:space="0"/>
            </w:tcBorders>
            <w:vAlign w:val="center"/>
          </w:tcPr>
          <w:p w14:paraId="7105C022">
            <w:pPr>
              <w:widowControl/>
              <w:snapToGrid w:val="0"/>
              <w:jc w:val="left"/>
              <w:rPr>
                <w:rFonts w:hint="eastAsia" w:ascii="宋体" w:hAnsi="宋体" w:cs="宋体"/>
                <w:kern w:val="0"/>
                <w:sz w:val="20"/>
                <w:szCs w:val="20"/>
              </w:rPr>
            </w:pPr>
          </w:p>
        </w:tc>
        <w:tc>
          <w:tcPr>
            <w:tcW w:w="739" w:type="dxa"/>
            <w:tcBorders>
              <w:top w:val="single" w:color="auto" w:sz="4" w:space="0"/>
              <w:left w:val="single" w:color="auto" w:sz="4" w:space="0"/>
              <w:bottom w:val="single" w:color="auto" w:sz="4" w:space="0"/>
              <w:right w:val="single" w:color="auto" w:sz="4" w:space="0"/>
            </w:tcBorders>
            <w:vAlign w:val="center"/>
          </w:tcPr>
          <w:p w14:paraId="04A8DC14">
            <w:pPr>
              <w:widowControl/>
              <w:snapToGrid w:val="0"/>
              <w:jc w:val="center"/>
              <w:rPr>
                <w:rFonts w:hint="eastAsia" w:ascii="宋体" w:hAnsi="宋体" w:cs="宋体"/>
                <w:kern w:val="0"/>
                <w:sz w:val="20"/>
                <w:szCs w:val="20"/>
              </w:rPr>
            </w:pPr>
          </w:p>
        </w:tc>
        <w:tc>
          <w:tcPr>
            <w:tcW w:w="1158" w:type="dxa"/>
            <w:tcBorders>
              <w:top w:val="single" w:color="auto" w:sz="4" w:space="0"/>
              <w:left w:val="single" w:color="auto" w:sz="4" w:space="0"/>
              <w:bottom w:val="single" w:color="auto" w:sz="4" w:space="0"/>
              <w:right w:val="single" w:color="auto" w:sz="4" w:space="0"/>
            </w:tcBorders>
            <w:vAlign w:val="center"/>
          </w:tcPr>
          <w:p w14:paraId="5D0FAB54">
            <w:pPr>
              <w:widowControl/>
              <w:snapToGrid w:val="0"/>
              <w:jc w:val="right"/>
              <w:rPr>
                <w:rFonts w:hint="eastAsia" w:ascii="宋体" w:hAnsi="宋体" w:cs="宋体"/>
                <w:kern w:val="0"/>
                <w:sz w:val="20"/>
                <w:szCs w:val="20"/>
              </w:rPr>
            </w:pPr>
          </w:p>
        </w:tc>
      </w:tr>
      <w:tr w14:paraId="74604700">
        <w:tblPrEx>
          <w:tblCellMar>
            <w:top w:w="0" w:type="dxa"/>
            <w:left w:w="108" w:type="dxa"/>
            <w:bottom w:w="0" w:type="dxa"/>
            <w:right w:w="108" w:type="dxa"/>
          </w:tblCellMar>
        </w:tblPrEx>
        <w:trPr>
          <w:jc w:val="center"/>
        </w:trPr>
        <w:tc>
          <w:tcPr>
            <w:tcW w:w="523" w:type="dxa"/>
            <w:tcBorders>
              <w:top w:val="single" w:color="auto" w:sz="4" w:space="0"/>
              <w:left w:val="single" w:color="auto" w:sz="4" w:space="0"/>
              <w:bottom w:val="single" w:color="auto" w:sz="4" w:space="0"/>
              <w:right w:val="single" w:color="auto" w:sz="4" w:space="0"/>
            </w:tcBorders>
            <w:vAlign w:val="center"/>
          </w:tcPr>
          <w:p w14:paraId="679E162F">
            <w:pPr>
              <w:widowControl/>
              <w:snapToGrid w:val="0"/>
              <w:jc w:val="center"/>
              <w:rPr>
                <w:rFonts w:hint="eastAsia" w:ascii="宋体" w:hAnsi="宋体" w:cs="宋体"/>
                <w:kern w:val="0"/>
                <w:sz w:val="20"/>
                <w:szCs w:val="20"/>
              </w:rPr>
            </w:pPr>
            <w:r>
              <w:rPr>
                <w:rFonts w:hint="eastAsia" w:ascii="宋体" w:hAnsi="黑体" w:cs="宋体"/>
                <w:kern w:val="0"/>
                <w:sz w:val="20"/>
                <w:szCs w:val="20"/>
              </w:rPr>
              <w:t>2</w:t>
            </w:r>
          </w:p>
        </w:tc>
        <w:tc>
          <w:tcPr>
            <w:tcW w:w="856" w:type="dxa"/>
            <w:tcBorders>
              <w:top w:val="single" w:color="auto" w:sz="4" w:space="0"/>
              <w:left w:val="single" w:color="auto" w:sz="4" w:space="0"/>
              <w:bottom w:val="single" w:color="auto" w:sz="4" w:space="0"/>
              <w:right w:val="single" w:color="auto" w:sz="4" w:space="0"/>
            </w:tcBorders>
            <w:vAlign w:val="center"/>
          </w:tcPr>
          <w:p w14:paraId="36C5FD10">
            <w:pPr>
              <w:widowControl/>
              <w:snapToGrid w:val="0"/>
              <w:jc w:val="center"/>
              <w:rPr>
                <w:rFonts w:hint="eastAsia" w:ascii="宋体" w:hAnsi="宋体" w:cs="宋体"/>
                <w:kern w:val="0"/>
                <w:sz w:val="20"/>
                <w:szCs w:val="20"/>
              </w:rPr>
            </w:pPr>
            <w:r>
              <w:rPr>
                <w:rFonts w:hint="eastAsia" w:ascii="宋体" w:hAnsi="黑体" w:cs="宋体"/>
                <w:kern w:val="0"/>
                <w:sz w:val="20"/>
                <w:szCs w:val="20"/>
              </w:rPr>
              <w:t>E-07</w:t>
            </w:r>
          </w:p>
        </w:tc>
        <w:tc>
          <w:tcPr>
            <w:tcW w:w="1256" w:type="dxa"/>
            <w:tcBorders>
              <w:top w:val="single" w:color="auto" w:sz="4" w:space="0"/>
              <w:left w:val="single" w:color="auto" w:sz="4" w:space="0"/>
              <w:bottom w:val="single" w:color="auto" w:sz="4" w:space="0"/>
              <w:right w:val="single" w:color="auto" w:sz="4" w:space="0"/>
            </w:tcBorders>
            <w:vAlign w:val="center"/>
          </w:tcPr>
          <w:p w14:paraId="648A2F8B">
            <w:pPr>
              <w:widowControl/>
              <w:snapToGrid w:val="0"/>
              <w:jc w:val="center"/>
              <w:rPr>
                <w:rFonts w:hint="eastAsia" w:ascii="宋体" w:hAnsi="宋体" w:cs="宋体"/>
                <w:kern w:val="0"/>
                <w:sz w:val="20"/>
                <w:szCs w:val="20"/>
              </w:rPr>
            </w:pPr>
            <w:r>
              <w:rPr>
                <w:rFonts w:hint="eastAsia" w:ascii="宋体" w:hAnsi="宋体" w:cs="宋体"/>
                <w:kern w:val="0"/>
                <w:sz w:val="20"/>
                <w:szCs w:val="20"/>
              </w:rPr>
              <w:t>减温减压器</w:t>
            </w:r>
          </w:p>
        </w:tc>
        <w:tc>
          <w:tcPr>
            <w:tcW w:w="3216" w:type="dxa"/>
            <w:tcBorders>
              <w:top w:val="single" w:color="auto" w:sz="4" w:space="0"/>
              <w:left w:val="single" w:color="auto" w:sz="4" w:space="0"/>
              <w:bottom w:val="single" w:color="auto" w:sz="4" w:space="0"/>
              <w:right w:val="single" w:color="auto" w:sz="4" w:space="0"/>
            </w:tcBorders>
            <w:vAlign w:val="center"/>
          </w:tcPr>
          <w:p w14:paraId="244ED472">
            <w:pPr>
              <w:widowControl/>
              <w:snapToGrid w:val="0"/>
              <w:jc w:val="left"/>
              <w:rPr>
                <w:rFonts w:hint="eastAsia" w:ascii="宋体" w:hAnsi="宋体" w:cs="宋体"/>
                <w:kern w:val="0"/>
                <w:sz w:val="20"/>
                <w:szCs w:val="20"/>
              </w:rPr>
            </w:pPr>
            <w:r>
              <w:rPr>
                <w:rFonts w:hint="eastAsia" w:ascii="宋体" w:hAnsi="宋体" w:cs="宋体"/>
                <w:kern w:val="0"/>
                <w:sz w:val="20"/>
                <w:szCs w:val="20"/>
              </w:rPr>
              <w:t>蒸汽流量：</w:t>
            </w:r>
            <w:r>
              <w:rPr>
                <w:rFonts w:hint="eastAsia" w:ascii="宋体" w:hAnsi="宋体" w:cs="宋体"/>
                <w:kern w:val="0"/>
                <w:sz w:val="20"/>
                <w:szCs w:val="20"/>
                <w:lang w:val="en-US" w:eastAsia="zh-CN"/>
              </w:rPr>
              <w:t>10~</w:t>
            </w:r>
            <w:r>
              <w:rPr>
                <w:rFonts w:hint="eastAsia" w:ascii="宋体" w:hAnsi="宋体" w:cs="宋体"/>
                <w:kern w:val="0"/>
                <w:sz w:val="20"/>
                <w:szCs w:val="20"/>
              </w:rPr>
              <w:t xml:space="preserve">25t/h </w:t>
            </w:r>
          </w:p>
        </w:tc>
        <w:tc>
          <w:tcPr>
            <w:tcW w:w="838" w:type="dxa"/>
            <w:tcBorders>
              <w:top w:val="single" w:color="auto" w:sz="4" w:space="0"/>
              <w:left w:val="single" w:color="auto" w:sz="4" w:space="0"/>
              <w:bottom w:val="single" w:color="auto" w:sz="4" w:space="0"/>
              <w:right w:val="single" w:color="auto" w:sz="4" w:space="0"/>
            </w:tcBorders>
            <w:vAlign w:val="center"/>
          </w:tcPr>
          <w:p w14:paraId="7F38D0EF">
            <w:pPr>
              <w:widowControl/>
              <w:snapToGrid w:val="0"/>
              <w:jc w:val="left"/>
              <w:rPr>
                <w:rFonts w:hint="eastAsia" w:ascii="宋体" w:hAnsi="宋体" w:cs="宋体"/>
                <w:kern w:val="0"/>
                <w:sz w:val="20"/>
                <w:szCs w:val="20"/>
              </w:rPr>
            </w:pPr>
            <w:r>
              <w:rPr>
                <w:rFonts w:hint="eastAsia" w:ascii="宋体" w:hAnsi="宋体" w:cs="宋体"/>
                <w:kern w:val="0"/>
                <w:sz w:val="20"/>
                <w:szCs w:val="20"/>
              </w:rPr>
              <w:t>1</w:t>
            </w:r>
          </w:p>
        </w:tc>
        <w:tc>
          <w:tcPr>
            <w:tcW w:w="739" w:type="dxa"/>
            <w:tcBorders>
              <w:top w:val="single" w:color="auto" w:sz="4" w:space="0"/>
              <w:left w:val="single" w:color="auto" w:sz="4" w:space="0"/>
              <w:bottom w:val="single" w:color="auto" w:sz="4" w:space="0"/>
              <w:right w:val="single" w:color="auto" w:sz="4" w:space="0"/>
            </w:tcBorders>
            <w:vAlign w:val="center"/>
          </w:tcPr>
          <w:p w14:paraId="41B45184">
            <w:pPr>
              <w:widowControl/>
              <w:snapToGrid w:val="0"/>
              <w:jc w:val="center"/>
              <w:rPr>
                <w:rFonts w:hint="eastAsia" w:ascii="宋体" w:hAnsi="宋体" w:cs="宋体"/>
                <w:kern w:val="0"/>
                <w:sz w:val="20"/>
                <w:szCs w:val="20"/>
              </w:rPr>
            </w:pPr>
          </w:p>
        </w:tc>
        <w:tc>
          <w:tcPr>
            <w:tcW w:w="1158" w:type="dxa"/>
            <w:tcBorders>
              <w:top w:val="single" w:color="auto" w:sz="4" w:space="0"/>
              <w:left w:val="single" w:color="auto" w:sz="4" w:space="0"/>
              <w:bottom w:val="single" w:color="auto" w:sz="4" w:space="0"/>
              <w:right w:val="single" w:color="auto" w:sz="4" w:space="0"/>
            </w:tcBorders>
            <w:vAlign w:val="center"/>
          </w:tcPr>
          <w:p w14:paraId="3DA815FC">
            <w:pPr>
              <w:widowControl/>
              <w:snapToGrid w:val="0"/>
              <w:jc w:val="right"/>
              <w:rPr>
                <w:rFonts w:hint="eastAsia" w:ascii="宋体" w:hAnsi="宋体" w:cs="宋体"/>
                <w:kern w:val="0"/>
                <w:sz w:val="20"/>
                <w:szCs w:val="20"/>
              </w:rPr>
            </w:pPr>
          </w:p>
        </w:tc>
      </w:tr>
      <w:tr w14:paraId="3618A2A4">
        <w:tblPrEx>
          <w:tblCellMar>
            <w:top w:w="0" w:type="dxa"/>
            <w:left w:w="108" w:type="dxa"/>
            <w:bottom w:w="0" w:type="dxa"/>
            <w:right w:w="108" w:type="dxa"/>
          </w:tblCellMar>
        </w:tblPrEx>
        <w:trPr>
          <w:jc w:val="center"/>
        </w:trPr>
        <w:tc>
          <w:tcPr>
            <w:tcW w:w="523" w:type="dxa"/>
            <w:tcBorders>
              <w:top w:val="single" w:color="auto" w:sz="4" w:space="0"/>
              <w:left w:val="single" w:color="auto" w:sz="4" w:space="0"/>
              <w:bottom w:val="single" w:color="auto" w:sz="4" w:space="0"/>
              <w:right w:val="single" w:color="auto" w:sz="4" w:space="0"/>
            </w:tcBorders>
            <w:vAlign w:val="center"/>
          </w:tcPr>
          <w:p w14:paraId="3764C703">
            <w:pPr>
              <w:widowControl/>
              <w:snapToGrid w:val="0"/>
              <w:jc w:val="center"/>
              <w:rPr>
                <w:rFonts w:hint="eastAsia" w:ascii="宋体" w:hAnsi="宋体" w:cs="宋体"/>
                <w:kern w:val="0"/>
                <w:sz w:val="20"/>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30339FDF">
            <w:pPr>
              <w:widowControl/>
              <w:snapToGrid w:val="0"/>
              <w:jc w:val="center"/>
              <w:rPr>
                <w:rFonts w:hint="eastAsia" w:ascii="宋体" w:hAnsi="宋体" w:cs="宋体"/>
                <w:kern w:val="0"/>
                <w:sz w:val="20"/>
                <w:szCs w:val="20"/>
              </w:rPr>
            </w:pPr>
          </w:p>
        </w:tc>
        <w:tc>
          <w:tcPr>
            <w:tcW w:w="1256" w:type="dxa"/>
            <w:tcBorders>
              <w:top w:val="single" w:color="auto" w:sz="4" w:space="0"/>
              <w:left w:val="single" w:color="auto" w:sz="4" w:space="0"/>
              <w:bottom w:val="single" w:color="auto" w:sz="4" w:space="0"/>
              <w:right w:val="single" w:color="auto" w:sz="4" w:space="0"/>
            </w:tcBorders>
            <w:vAlign w:val="center"/>
          </w:tcPr>
          <w:p w14:paraId="4789096D">
            <w:pPr>
              <w:widowControl/>
              <w:snapToGrid w:val="0"/>
              <w:jc w:val="center"/>
              <w:rPr>
                <w:rFonts w:hint="eastAsia" w:ascii="宋体" w:hAnsi="宋体" w:cs="宋体"/>
                <w:kern w:val="0"/>
                <w:sz w:val="20"/>
                <w:szCs w:val="20"/>
              </w:rPr>
            </w:pPr>
          </w:p>
        </w:tc>
        <w:tc>
          <w:tcPr>
            <w:tcW w:w="3216" w:type="dxa"/>
            <w:tcBorders>
              <w:top w:val="single" w:color="auto" w:sz="4" w:space="0"/>
              <w:left w:val="single" w:color="auto" w:sz="4" w:space="0"/>
              <w:bottom w:val="single" w:color="auto" w:sz="4" w:space="0"/>
              <w:right w:val="single" w:color="auto" w:sz="4" w:space="0"/>
            </w:tcBorders>
            <w:vAlign w:val="center"/>
          </w:tcPr>
          <w:p w14:paraId="6F3B6526">
            <w:pPr>
              <w:widowControl/>
              <w:snapToGrid w:val="0"/>
              <w:jc w:val="left"/>
              <w:rPr>
                <w:rFonts w:hint="eastAsia" w:ascii="宋体" w:hAnsi="宋体" w:cs="宋体"/>
                <w:kern w:val="0"/>
                <w:sz w:val="20"/>
                <w:szCs w:val="20"/>
              </w:rPr>
            </w:pPr>
            <w:r>
              <w:rPr>
                <w:rFonts w:hint="eastAsia" w:ascii="宋体" w:hAnsi="宋体" w:cs="宋体"/>
                <w:kern w:val="0"/>
                <w:sz w:val="20"/>
                <w:szCs w:val="20"/>
              </w:rPr>
              <w:t>初始压力：</w:t>
            </w:r>
            <w:r>
              <w:rPr>
                <w:rFonts w:hint="eastAsia" w:ascii="宋体" w:hAnsi="宋体" w:cs="宋体"/>
                <w:kern w:val="0"/>
                <w:sz w:val="20"/>
                <w:szCs w:val="20"/>
                <w:lang w:val="en-US" w:eastAsia="zh-CN"/>
              </w:rPr>
              <w:t>3.0~</w:t>
            </w:r>
            <w:r>
              <w:rPr>
                <w:rFonts w:hint="eastAsia" w:ascii="宋体" w:hAnsi="宋体" w:cs="宋体"/>
                <w:kern w:val="0"/>
                <w:sz w:val="20"/>
                <w:szCs w:val="20"/>
              </w:rPr>
              <w:t>3.2Mpa</w:t>
            </w:r>
          </w:p>
        </w:tc>
        <w:tc>
          <w:tcPr>
            <w:tcW w:w="838" w:type="dxa"/>
            <w:tcBorders>
              <w:top w:val="single" w:color="auto" w:sz="4" w:space="0"/>
              <w:left w:val="single" w:color="auto" w:sz="4" w:space="0"/>
              <w:bottom w:val="single" w:color="auto" w:sz="4" w:space="0"/>
              <w:right w:val="single" w:color="auto" w:sz="4" w:space="0"/>
            </w:tcBorders>
            <w:vAlign w:val="center"/>
          </w:tcPr>
          <w:p w14:paraId="54A458BE">
            <w:pPr>
              <w:widowControl/>
              <w:snapToGrid w:val="0"/>
              <w:jc w:val="left"/>
              <w:rPr>
                <w:rFonts w:hint="eastAsia" w:ascii="宋体" w:hAnsi="宋体" w:cs="宋体"/>
                <w:kern w:val="0"/>
                <w:sz w:val="20"/>
                <w:szCs w:val="20"/>
              </w:rPr>
            </w:pPr>
          </w:p>
        </w:tc>
        <w:tc>
          <w:tcPr>
            <w:tcW w:w="739" w:type="dxa"/>
            <w:tcBorders>
              <w:top w:val="single" w:color="auto" w:sz="4" w:space="0"/>
              <w:left w:val="single" w:color="auto" w:sz="4" w:space="0"/>
              <w:bottom w:val="single" w:color="auto" w:sz="4" w:space="0"/>
              <w:right w:val="single" w:color="auto" w:sz="4" w:space="0"/>
            </w:tcBorders>
            <w:vAlign w:val="center"/>
          </w:tcPr>
          <w:p w14:paraId="3FED4744">
            <w:pPr>
              <w:widowControl/>
              <w:snapToGrid w:val="0"/>
              <w:jc w:val="center"/>
              <w:rPr>
                <w:rFonts w:hint="eastAsia" w:ascii="宋体" w:hAnsi="宋体" w:cs="宋体"/>
                <w:kern w:val="0"/>
                <w:sz w:val="20"/>
                <w:szCs w:val="20"/>
              </w:rPr>
            </w:pPr>
          </w:p>
        </w:tc>
        <w:tc>
          <w:tcPr>
            <w:tcW w:w="1158" w:type="dxa"/>
            <w:tcBorders>
              <w:top w:val="single" w:color="auto" w:sz="4" w:space="0"/>
              <w:left w:val="single" w:color="auto" w:sz="4" w:space="0"/>
              <w:bottom w:val="single" w:color="auto" w:sz="4" w:space="0"/>
              <w:right w:val="single" w:color="auto" w:sz="4" w:space="0"/>
            </w:tcBorders>
            <w:vAlign w:val="center"/>
          </w:tcPr>
          <w:p w14:paraId="0CD3D82B">
            <w:pPr>
              <w:widowControl/>
              <w:snapToGrid w:val="0"/>
              <w:jc w:val="right"/>
              <w:rPr>
                <w:rFonts w:hint="eastAsia" w:ascii="宋体" w:hAnsi="宋体" w:cs="宋体"/>
                <w:kern w:val="0"/>
                <w:sz w:val="20"/>
                <w:szCs w:val="20"/>
              </w:rPr>
            </w:pPr>
          </w:p>
        </w:tc>
      </w:tr>
      <w:tr w14:paraId="75E8ED5C">
        <w:tblPrEx>
          <w:tblCellMar>
            <w:top w:w="0" w:type="dxa"/>
            <w:left w:w="108" w:type="dxa"/>
            <w:bottom w:w="0" w:type="dxa"/>
            <w:right w:w="108" w:type="dxa"/>
          </w:tblCellMar>
        </w:tblPrEx>
        <w:trPr>
          <w:jc w:val="center"/>
        </w:trPr>
        <w:tc>
          <w:tcPr>
            <w:tcW w:w="523" w:type="dxa"/>
            <w:tcBorders>
              <w:top w:val="single" w:color="auto" w:sz="4" w:space="0"/>
              <w:left w:val="single" w:color="auto" w:sz="4" w:space="0"/>
              <w:bottom w:val="single" w:color="auto" w:sz="4" w:space="0"/>
              <w:right w:val="single" w:color="auto" w:sz="4" w:space="0"/>
            </w:tcBorders>
            <w:vAlign w:val="center"/>
          </w:tcPr>
          <w:p w14:paraId="185F7BBA">
            <w:pPr>
              <w:widowControl/>
              <w:snapToGrid w:val="0"/>
              <w:jc w:val="center"/>
              <w:rPr>
                <w:rFonts w:hint="eastAsia" w:ascii="宋体" w:hAnsi="宋体" w:cs="宋体"/>
                <w:kern w:val="0"/>
                <w:sz w:val="20"/>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221A3B3B">
            <w:pPr>
              <w:widowControl/>
              <w:snapToGrid w:val="0"/>
              <w:jc w:val="center"/>
              <w:rPr>
                <w:rFonts w:hint="eastAsia" w:ascii="宋体" w:hAnsi="宋体" w:cs="宋体"/>
                <w:kern w:val="0"/>
                <w:sz w:val="20"/>
                <w:szCs w:val="20"/>
              </w:rPr>
            </w:pPr>
          </w:p>
        </w:tc>
        <w:tc>
          <w:tcPr>
            <w:tcW w:w="1256" w:type="dxa"/>
            <w:tcBorders>
              <w:top w:val="single" w:color="auto" w:sz="4" w:space="0"/>
              <w:left w:val="single" w:color="auto" w:sz="4" w:space="0"/>
              <w:bottom w:val="single" w:color="auto" w:sz="4" w:space="0"/>
              <w:right w:val="single" w:color="auto" w:sz="4" w:space="0"/>
            </w:tcBorders>
            <w:vAlign w:val="center"/>
          </w:tcPr>
          <w:p w14:paraId="635F03CC">
            <w:pPr>
              <w:widowControl/>
              <w:snapToGrid w:val="0"/>
              <w:jc w:val="center"/>
              <w:rPr>
                <w:rFonts w:hint="eastAsia" w:ascii="宋体" w:hAnsi="宋体" w:cs="宋体"/>
                <w:kern w:val="0"/>
                <w:sz w:val="20"/>
                <w:szCs w:val="20"/>
              </w:rPr>
            </w:pPr>
          </w:p>
        </w:tc>
        <w:tc>
          <w:tcPr>
            <w:tcW w:w="3216" w:type="dxa"/>
            <w:tcBorders>
              <w:top w:val="single" w:color="auto" w:sz="4" w:space="0"/>
              <w:left w:val="single" w:color="auto" w:sz="4" w:space="0"/>
              <w:bottom w:val="single" w:color="auto" w:sz="4" w:space="0"/>
              <w:right w:val="single" w:color="auto" w:sz="4" w:space="0"/>
            </w:tcBorders>
            <w:vAlign w:val="center"/>
          </w:tcPr>
          <w:p w14:paraId="4F21A03F">
            <w:pPr>
              <w:widowControl/>
              <w:snapToGrid w:val="0"/>
              <w:jc w:val="left"/>
              <w:rPr>
                <w:rFonts w:hint="eastAsia" w:ascii="宋体" w:hAnsi="宋体" w:cs="宋体"/>
                <w:kern w:val="0"/>
                <w:sz w:val="20"/>
                <w:szCs w:val="20"/>
              </w:rPr>
            </w:pPr>
            <w:r>
              <w:rPr>
                <w:rFonts w:hint="eastAsia" w:ascii="宋体" w:hAnsi="宋体" w:cs="宋体"/>
                <w:kern w:val="0"/>
                <w:sz w:val="20"/>
                <w:szCs w:val="20"/>
              </w:rPr>
              <w:t>初始温度：255℃</w:t>
            </w:r>
          </w:p>
        </w:tc>
        <w:tc>
          <w:tcPr>
            <w:tcW w:w="838" w:type="dxa"/>
            <w:tcBorders>
              <w:top w:val="single" w:color="auto" w:sz="4" w:space="0"/>
              <w:left w:val="single" w:color="auto" w:sz="4" w:space="0"/>
              <w:bottom w:val="single" w:color="auto" w:sz="4" w:space="0"/>
              <w:right w:val="single" w:color="auto" w:sz="4" w:space="0"/>
            </w:tcBorders>
            <w:vAlign w:val="center"/>
          </w:tcPr>
          <w:p w14:paraId="580D6362">
            <w:pPr>
              <w:widowControl/>
              <w:snapToGrid w:val="0"/>
              <w:jc w:val="left"/>
              <w:rPr>
                <w:rFonts w:hint="eastAsia" w:ascii="宋体" w:hAnsi="宋体" w:cs="宋体"/>
                <w:kern w:val="0"/>
                <w:sz w:val="20"/>
                <w:szCs w:val="20"/>
              </w:rPr>
            </w:pPr>
          </w:p>
        </w:tc>
        <w:tc>
          <w:tcPr>
            <w:tcW w:w="739" w:type="dxa"/>
            <w:tcBorders>
              <w:top w:val="single" w:color="auto" w:sz="4" w:space="0"/>
              <w:left w:val="single" w:color="auto" w:sz="4" w:space="0"/>
              <w:bottom w:val="single" w:color="auto" w:sz="4" w:space="0"/>
              <w:right w:val="single" w:color="auto" w:sz="4" w:space="0"/>
            </w:tcBorders>
            <w:vAlign w:val="center"/>
          </w:tcPr>
          <w:p w14:paraId="14AA7FEB">
            <w:pPr>
              <w:widowControl/>
              <w:snapToGrid w:val="0"/>
              <w:jc w:val="center"/>
              <w:rPr>
                <w:rFonts w:hint="eastAsia" w:ascii="宋体" w:hAnsi="宋体" w:cs="宋体"/>
                <w:kern w:val="0"/>
                <w:sz w:val="20"/>
                <w:szCs w:val="20"/>
              </w:rPr>
            </w:pPr>
          </w:p>
        </w:tc>
        <w:tc>
          <w:tcPr>
            <w:tcW w:w="1158" w:type="dxa"/>
            <w:tcBorders>
              <w:top w:val="single" w:color="auto" w:sz="4" w:space="0"/>
              <w:left w:val="single" w:color="auto" w:sz="4" w:space="0"/>
              <w:bottom w:val="single" w:color="auto" w:sz="4" w:space="0"/>
              <w:right w:val="single" w:color="auto" w:sz="4" w:space="0"/>
            </w:tcBorders>
            <w:vAlign w:val="center"/>
          </w:tcPr>
          <w:p w14:paraId="6BFA21A0">
            <w:pPr>
              <w:widowControl/>
              <w:snapToGrid w:val="0"/>
              <w:jc w:val="right"/>
              <w:rPr>
                <w:rFonts w:hint="eastAsia" w:ascii="宋体" w:hAnsi="宋体" w:cs="宋体"/>
                <w:kern w:val="0"/>
                <w:sz w:val="20"/>
                <w:szCs w:val="20"/>
              </w:rPr>
            </w:pPr>
          </w:p>
        </w:tc>
      </w:tr>
      <w:tr w14:paraId="70916737">
        <w:tblPrEx>
          <w:tblCellMar>
            <w:top w:w="0" w:type="dxa"/>
            <w:left w:w="108" w:type="dxa"/>
            <w:bottom w:w="0" w:type="dxa"/>
            <w:right w:w="108" w:type="dxa"/>
          </w:tblCellMar>
        </w:tblPrEx>
        <w:trPr>
          <w:jc w:val="center"/>
        </w:trPr>
        <w:tc>
          <w:tcPr>
            <w:tcW w:w="523" w:type="dxa"/>
            <w:tcBorders>
              <w:top w:val="single" w:color="auto" w:sz="4" w:space="0"/>
              <w:left w:val="single" w:color="auto" w:sz="4" w:space="0"/>
              <w:bottom w:val="single" w:color="auto" w:sz="4" w:space="0"/>
              <w:right w:val="single" w:color="auto" w:sz="4" w:space="0"/>
            </w:tcBorders>
            <w:vAlign w:val="center"/>
          </w:tcPr>
          <w:p w14:paraId="4A371C0F">
            <w:pPr>
              <w:widowControl/>
              <w:snapToGrid w:val="0"/>
              <w:jc w:val="center"/>
              <w:rPr>
                <w:rFonts w:hint="eastAsia" w:ascii="宋体" w:hAnsi="宋体" w:cs="宋体"/>
                <w:kern w:val="0"/>
                <w:sz w:val="20"/>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3F3C5253">
            <w:pPr>
              <w:widowControl/>
              <w:snapToGrid w:val="0"/>
              <w:jc w:val="center"/>
              <w:rPr>
                <w:rFonts w:hint="eastAsia" w:ascii="宋体" w:hAnsi="宋体" w:cs="宋体"/>
                <w:kern w:val="0"/>
                <w:sz w:val="20"/>
                <w:szCs w:val="20"/>
              </w:rPr>
            </w:pPr>
          </w:p>
        </w:tc>
        <w:tc>
          <w:tcPr>
            <w:tcW w:w="1256" w:type="dxa"/>
            <w:tcBorders>
              <w:top w:val="single" w:color="auto" w:sz="4" w:space="0"/>
              <w:left w:val="single" w:color="auto" w:sz="4" w:space="0"/>
              <w:bottom w:val="single" w:color="auto" w:sz="4" w:space="0"/>
              <w:right w:val="single" w:color="auto" w:sz="4" w:space="0"/>
            </w:tcBorders>
            <w:vAlign w:val="center"/>
          </w:tcPr>
          <w:p w14:paraId="082F230E">
            <w:pPr>
              <w:widowControl/>
              <w:snapToGrid w:val="0"/>
              <w:jc w:val="center"/>
              <w:rPr>
                <w:rFonts w:hint="eastAsia" w:ascii="宋体" w:hAnsi="宋体" w:cs="宋体"/>
                <w:kern w:val="0"/>
                <w:sz w:val="20"/>
                <w:szCs w:val="20"/>
              </w:rPr>
            </w:pPr>
          </w:p>
        </w:tc>
        <w:tc>
          <w:tcPr>
            <w:tcW w:w="3216" w:type="dxa"/>
            <w:tcBorders>
              <w:top w:val="single" w:color="auto" w:sz="4" w:space="0"/>
              <w:left w:val="single" w:color="auto" w:sz="4" w:space="0"/>
              <w:bottom w:val="single" w:color="auto" w:sz="4" w:space="0"/>
              <w:right w:val="single" w:color="auto" w:sz="4" w:space="0"/>
            </w:tcBorders>
            <w:vAlign w:val="center"/>
          </w:tcPr>
          <w:p w14:paraId="13608EF4">
            <w:pPr>
              <w:widowControl/>
              <w:snapToGrid w:val="0"/>
              <w:jc w:val="left"/>
              <w:rPr>
                <w:rFonts w:hint="eastAsia" w:ascii="宋体" w:hAnsi="宋体" w:cs="宋体"/>
                <w:kern w:val="0"/>
                <w:sz w:val="20"/>
                <w:szCs w:val="20"/>
              </w:rPr>
            </w:pPr>
            <w:r>
              <w:rPr>
                <w:rFonts w:hint="eastAsia" w:ascii="宋体" w:hAnsi="宋体" w:cs="宋体"/>
                <w:kern w:val="0"/>
                <w:sz w:val="20"/>
                <w:szCs w:val="20"/>
              </w:rPr>
              <w:t>减压后压力：</w:t>
            </w:r>
            <w:r>
              <w:rPr>
                <w:rFonts w:hint="eastAsia" w:ascii="宋体" w:hAnsi="宋体" w:cs="宋体"/>
                <w:kern w:val="0"/>
                <w:sz w:val="20"/>
                <w:szCs w:val="20"/>
                <w:lang w:val="en-US" w:eastAsia="zh-CN"/>
              </w:rPr>
              <w:t>0.6~</w:t>
            </w:r>
            <w:r>
              <w:rPr>
                <w:rFonts w:hint="eastAsia" w:ascii="宋体" w:hAnsi="宋体" w:cs="宋体"/>
                <w:kern w:val="0"/>
                <w:sz w:val="20"/>
                <w:szCs w:val="20"/>
              </w:rPr>
              <w:t>0.8Mpa</w:t>
            </w:r>
          </w:p>
        </w:tc>
        <w:tc>
          <w:tcPr>
            <w:tcW w:w="838" w:type="dxa"/>
            <w:tcBorders>
              <w:top w:val="single" w:color="auto" w:sz="4" w:space="0"/>
              <w:left w:val="single" w:color="auto" w:sz="4" w:space="0"/>
              <w:bottom w:val="single" w:color="auto" w:sz="4" w:space="0"/>
              <w:right w:val="single" w:color="auto" w:sz="4" w:space="0"/>
            </w:tcBorders>
            <w:vAlign w:val="center"/>
          </w:tcPr>
          <w:p w14:paraId="7A58E953">
            <w:pPr>
              <w:widowControl/>
              <w:snapToGrid w:val="0"/>
              <w:jc w:val="left"/>
              <w:rPr>
                <w:rFonts w:hint="eastAsia" w:ascii="宋体" w:hAnsi="宋体" w:cs="宋体"/>
                <w:kern w:val="0"/>
                <w:sz w:val="20"/>
                <w:szCs w:val="20"/>
              </w:rPr>
            </w:pPr>
          </w:p>
        </w:tc>
        <w:tc>
          <w:tcPr>
            <w:tcW w:w="739" w:type="dxa"/>
            <w:tcBorders>
              <w:top w:val="single" w:color="auto" w:sz="4" w:space="0"/>
              <w:left w:val="single" w:color="auto" w:sz="4" w:space="0"/>
              <w:bottom w:val="single" w:color="auto" w:sz="4" w:space="0"/>
              <w:right w:val="single" w:color="auto" w:sz="4" w:space="0"/>
            </w:tcBorders>
            <w:vAlign w:val="center"/>
          </w:tcPr>
          <w:p w14:paraId="3FFC0851">
            <w:pPr>
              <w:widowControl/>
              <w:snapToGrid w:val="0"/>
              <w:jc w:val="center"/>
              <w:rPr>
                <w:rFonts w:hint="eastAsia" w:ascii="宋体" w:hAnsi="宋体" w:cs="宋体"/>
                <w:kern w:val="0"/>
                <w:sz w:val="20"/>
                <w:szCs w:val="20"/>
              </w:rPr>
            </w:pPr>
          </w:p>
        </w:tc>
        <w:tc>
          <w:tcPr>
            <w:tcW w:w="1158" w:type="dxa"/>
            <w:tcBorders>
              <w:top w:val="single" w:color="auto" w:sz="4" w:space="0"/>
              <w:left w:val="single" w:color="auto" w:sz="4" w:space="0"/>
              <w:bottom w:val="single" w:color="auto" w:sz="4" w:space="0"/>
              <w:right w:val="single" w:color="auto" w:sz="4" w:space="0"/>
            </w:tcBorders>
            <w:vAlign w:val="center"/>
          </w:tcPr>
          <w:p w14:paraId="42D7EC4F">
            <w:pPr>
              <w:widowControl/>
              <w:snapToGrid w:val="0"/>
              <w:jc w:val="right"/>
              <w:rPr>
                <w:rFonts w:hint="eastAsia" w:ascii="宋体" w:hAnsi="宋体" w:cs="宋体"/>
                <w:kern w:val="0"/>
                <w:sz w:val="20"/>
                <w:szCs w:val="20"/>
              </w:rPr>
            </w:pPr>
          </w:p>
        </w:tc>
      </w:tr>
      <w:tr w14:paraId="117FC0B5">
        <w:tblPrEx>
          <w:tblCellMar>
            <w:top w:w="0" w:type="dxa"/>
            <w:left w:w="108" w:type="dxa"/>
            <w:bottom w:w="0" w:type="dxa"/>
            <w:right w:w="108" w:type="dxa"/>
          </w:tblCellMar>
        </w:tblPrEx>
        <w:trPr>
          <w:jc w:val="center"/>
        </w:trPr>
        <w:tc>
          <w:tcPr>
            <w:tcW w:w="523" w:type="dxa"/>
            <w:tcBorders>
              <w:top w:val="single" w:color="auto" w:sz="4" w:space="0"/>
              <w:left w:val="single" w:color="auto" w:sz="4" w:space="0"/>
              <w:bottom w:val="single" w:color="auto" w:sz="4" w:space="0"/>
              <w:right w:val="single" w:color="auto" w:sz="4" w:space="0"/>
            </w:tcBorders>
            <w:vAlign w:val="center"/>
          </w:tcPr>
          <w:p w14:paraId="57424014">
            <w:pPr>
              <w:widowControl/>
              <w:snapToGrid w:val="0"/>
              <w:jc w:val="center"/>
              <w:rPr>
                <w:rFonts w:hint="eastAsia" w:ascii="宋体" w:hAnsi="宋体" w:cs="宋体"/>
                <w:kern w:val="0"/>
                <w:sz w:val="20"/>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23A1137D">
            <w:pPr>
              <w:widowControl/>
              <w:snapToGrid w:val="0"/>
              <w:jc w:val="center"/>
              <w:rPr>
                <w:rFonts w:hint="eastAsia" w:ascii="宋体" w:hAnsi="宋体" w:cs="宋体"/>
                <w:kern w:val="0"/>
                <w:sz w:val="20"/>
                <w:szCs w:val="20"/>
              </w:rPr>
            </w:pPr>
          </w:p>
        </w:tc>
        <w:tc>
          <w:tcPr>
            <w:tcW w:w="1256" w:type="dxa"/>
            <w:tcBorders>
              <w:top w:val="single" w:color="auto" w:sz="4" w:space="0"/>
              <w:left w:val="single" w:color="auto" w:sz="4" w:space="0"/>
              <w:bottom w:val="single" w:color="auto" w:sz="4" w:space="0"/>
              <w:right w:val="single" w:color="auto" w:sz="4" w:space="0"/>
            </w:tcBorders>
            <w:vAlign w:val="center"/>
          </w:tcPr>
          <w:p w14:paraId="75755C2D">
            <w:pPr>
              <w:widowControl/>
              <w:snapToGrid w:val="0"/>
              <w:jc w:val="center"/>
              <w:rPr>
                <w:rFonts w:hint="eastAsia" w:ascii="宋体" w:hAnsi="宋体" w:cs="宋体"/>
                <w:kern w:val="0"/>
                <w:sz w:val="20"/>
                <w:szCs w:val="20"/>
              </w:rPr>
            </w:pPr>
          </w:p>
        </w:tc>
        <w:tc>
          <w:tcPr>
            <w:tcW w:w="3216" w:type="dxa"/>
            <w:tcBorders>
              <w:top w:val="single" w:color="auto" w:sz="4" w:space="0"/>
              <w:left w:val="single" w:color="auto" w:sz="4" w:space="0"/>
              <w:bottom w:val="single" w:color="auto" w:sz="4" w:space="0"/>
              <w:right w:val="single" w:color="auto" w:sz="4" w:space="0"/>
            </w:tcBorders>
            <w:vAlign w:val="center"/>
          </w:tcPr>
          <w:p w14:paraId="325E2C46">
            <w:pPr>
              <w:widowControl/>
              <w:snapToGrid w:val="0"/>
              <w:jc w:val="left"/>
              <w:rPr>
                <w:rFonts w:hint="eastAsia" w:ascii="宋体" w:hAnsi="宋体" w:cs="宋体"/>
                <w:kern w:val="0"/>
                <w:sz w:val="20"/>
                <w:szCs w:val="20"/>
              </w:rPr>
            </w:pPr>
            <w:r>
              <w:rPr>
                <w:rFonts w:hint="eastAsia" w:ascii="宋体" w:hAnsi="宋体" w:cs="宋体"/>
                <w:kern w:val="0"/>
                <w:sz w:val="20"/>
                <w:szCs w:val="20"/>
              </w:rPr>
              <w:t>减温后温度：1</w:t>
            </w:r>
            <w:r>
              <w:rPr>
                <w:rFonts w:hint="eastAsia" w:ascii="宋体" w:hAnsi="宋体" w:cs="宋体"/>
                <w:kern w:val="0"/>
                <w:sz w:val="20"/>
                <w:szCs w:val="20"/>
                <w:lang w:val="en-US" w:eastAsia="zh-CN"/>
              </w:rPr>
              <w:t>75</w:t>
            </w:r>
            <w:r>
              <w:rPr>
                <w:rFonts w:hint="eastAsia" w:ascii="宋体" w:hAnsi="宋体" w:cs="宋体"/>
                <w:kern w:val="0"/>
                <w:sz w:val="20"/>
                <w:szCs w:val="20"/>
              </w:rPr>
              <w:t>℃</w:t>
            </w:r>
          </w:p>
        </w:tc>
        <w:tc>
          <w:tcPr>
            <w:tcW w:w="838" w:type="dxa"/>
            <w:tcBorders>
              <w:top w:val="single" w:color="auto" w:sz="4" w:space="0"/>
              <w:left w:val="single" w:color="auto" w:sz="4" w:space="0"/>
              <w:bottom w:val="single" w:color="auto" w:sz="4" w:space="0"/>
              <w:right w:val="single" w:color="auto" w:sz="4" w:space="0"/>
            </w:tcBorders>
            <w:vAlign w:val="center"/>
          </w:tcPr>
          <w:p w14:paraId="61D55211">
            <w:pPr>
              <w:widowControl/>
              <w:snapToGrid w:val="0"/>
              <w:jc w:val="left"/>
              <w:rPr>
                <w:rFonts w:hint="eastAsia" w:ascii="宋体" w:hAnsi="宋体" w:cs="宋体"/>
                <w:kern w:val="0"/>
                <w:sz w:val="20"/>
                <w:szCs w:val="20"/>
              </w:rPr>
            </w:pPr>
          </w:p>
        </w:tc>
        <w:tc>
          <w:tcPr>
            <w:tcW w:w="739" w:type="dxa"/>
            <w:tcBorders>
              <w:top w:val="single" w:color="auto" w:sz="4" w:space="0"/>
              <w:left w:val="single" w:color="auto" w:sz="4" w:space="0"/>
              <w:bottom w:val="single" w:color="auto" w:sz="4" w:space="0"/>
              <w:right w:val="single" w:color="auto" w:sz="4" w:space="0"/>
            </w:tcBorders>
            <w:vAlign w:val="center"/>
          </w:tcPr>
          <w:p w14:paraId="4FBA51CF">
            <w:pPr>
              <w:widowControl/>
              <w:snapToGrid w:val="0"/>
              <w:jc w:val="center"/>
              <w:rPr>
                <w:rFonts w:hint="eastAsia" w:ascii="宋体" w:hAnsi="宋体" w:cs="宋体"/>
                <w:kern w:val="0"/>
                <w:sz w:val="20"/>
                <w:szCs w:val="20"/>
              </w:rPr>
            </w:pPr>
          </w:p>
        </w:tc>
        <w:tc>
          <w:tcPr>
            <w:tcW w:w="1158" w:type="dxa"/>
            <w:tcBorders>
              <w:top w:val="single" w:color="auto" w:sz="4" w:space="0"/>
              <w:left w:val="single" w:color="auto" w:sz="4" w:space="0"/>
              <w:bottom w:val="single" w:color="auto" w:sz="4" w:space="0"/>
              <w:right w:val="single" w:color="auto" w:sz="4" w:space="0"/>
            </w:tcBorders>
            <w:vAlign w:val="center"/>
          </w:tcPr>
          <w:p w14:paraId="39E140CD">
            <w:pPr>
              <w:widowControl/>
              <w:snapToGrid w:val="0"/>
              <w:jc w:val="right"/>
              <w:rPr>
                <w:rFonts w:hint="eastAsia" w:ascii="宋体" w:hAnsi="宋体" w:cs="宋体"/>
                <w:kern w:val="0"/>
                <w:sz w:val="20"/>
                <w:szCs w:val="20"/>
              </w:rPr>
            </w:pPr>
          </w:p>
        </w:tc>
      </w:tr>
      <w:tr w14:paraId="60F0D7FC">
        <w:tblPrEx>
          <w:tblCellMar>
            <w:top w:w="0" w:type="dxa"/>
            <w:left w:w="108" w:type="dxa"/>
            <w:bottom w:w="0" w:type="dxa"/>
            <w:right w:w="108" w:type="dxa"/>
          </w:tblCellMar>
        </w:tblPrEx>
        <w:trPr>
          <w:jc w:val="center"/>
        </w:trPr>
        <w:tc>
          <w:tcPr>
            <w:tcW w:w="523" w:type="dxa"/>
            <w:tcBorders>
              <w:top w:val="single" w:color="auto" w:sz="4" w:space="0"/>
              <w:left w:val="single" w:color="auto" w:sz="4" w:space="0"/>
              <w:bottom w:val="single" w:color="auto" w:sz="4" w:space="0"/>
              <w:right w:val="single" w:color="auto" w:sz="4" w:space="0"/>
            </w:tcBorders>
            <w:vAlign w:val="center"/>
          </w:tcPr>
          <w:p w14:paraId="2761722D">
            <w:pPr>
              <w:widowControl/>
              <w:snapToGrid w:val="0"/>
              <w:jc w:val="center"/>
              <w:rPr>
                <w:rFonts w:hint="eastAsia" w:ascii="宋体" w:hAnsi="宋体" w:cs="宋体"/>
                <w:kern w:val="0"/>
                <w:sz w:val="20"/>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6065FA05">
            <w:pPr>
              <w:widowControl/>
              <w:snapToGrid w:val="0"/>
              <w:jc w:val="center"/>
              <w:rPr>
                <w:rFonts w:hint="eastAsia" w:ascii="宋体" w:hAnsi="宋体" w:cs="宋体"/>
                <w:kern w:val="0"/>
                <w:sz w:val="20"/>
                <w:szCs w:val="20"/>
              </w:rPr>
            </w:pPr>
          </w:p>
        </w:tc>
        <w:tc>
          <w:tcPr>
            <w:tcW w:w="1256" w:type="dxa"/>
            <w:tcBorders>
              <w:top w:val="single" w:color="auto" w:sz="4" w:space="0"/>
              <w:left w:val="single" w:color="auto" w:sz="4" w:space="0"/>
              <w:bottom w:val="single" w:color="auto" w:sz="4" w:space="0"/>
              <w:right w:val="single" w:color="auto" w:sz="4" w:space="0"/>
            </w:tcBorders>
            <w:vAlign w:val="center"/>
          </w:tcPr>
          <w:p w14:paraId="43356B35">
            <w:pPr>
              <w:widowControl/>
              <w:snapToGrid w:val="0"/>
              <w:jc w:val="center"/>
              <w:rPr>
                <w:rFonts w:hint="eastAsia" w:ascii="宋体" w:hAnsi="宋体" w:cs="宋体"/>
                <w:kern w:val="0"/>
                <w:sz w:val="20"/>
                <w:szCs w:val="20"/>
              </w:rPr>
            </w:pPr>
            <w:r>
              <w:rPr>
                <w:rFonts w:hint="eastAsia" w:ascii="宋体" w:hAnsi="宋体" w:cs="宋体"/>
                <w:kern w:val="0"/>
                <w:sz w:val="20"/>
                <w:szCs w:val="20"/>
              </w:rPr>
              <w:t>减温水泵</w:t>
            </w:r>
          </w:p>
        </w:tc>
        <w:tc>
          <w:tcPr>
            <w:tcW w:w="3216" w:type="dxa"/>
            <w:tcBorders>
              <w:top w:val="single" w:color="auto" w:sz="4" w:space="0"/>
              <w:left w:val="single" w:color="auto" w:sz="4" w:space="0"/>
              <w:bottom w:val="single" w:color="auto" w:sz="4" w:space="0"/>
              <w:right w:val="single" w:color="auto" w:sz="4" w:space="0"/>
            </w:tcBorders>
            <w:vAlign w:val="center"/>
          </w:tcPr>
          <w:p w14:paraId="735E9E7A">
            <w:pPr>
              <w:widowControl/>
              <w:snapToGrid w:val="0"/>
              <w:jc w:val="left"/>
              <w:rPr>
                <w:rFonts w:hint="eastAsia" w:ascii="宋体" w:hAnsi="宋体" w:cs="宋体"/>
                <w:kern w:val="0"/>
                <w:sz w:val="20"/>
                <w:szCs w:val="20"/>
              </w:rPr>
            </w:pPr>
            <w:r>
              <w:rPr>
                <w:rFonts w:hint="eastAsia" w:ascii="宋体" w:hAnsi="宋体" w:cs="宋体"/>
                <w:kern w:val="0"/>
                <w:sz w:val="20"/>
                <w:szCs w:val="20"/>
              </w:rPr>
              <w:t>型号：</w:t>
            </w:r>
          </w:p>
        </w:tc>
        <w:tc>
          <w:tcPr>
            <w:tcW w:w="838" w:type="dxa"/>
            <w:tcBorders>
              <w:top w:val="single" w:color="auto" w:sz="4" w:space="0"/>
              <w:left w:val="single" w:color="auto" w:sz="4" w:space="0"/>
              <w:bottom w:val="single" w:color="auto" w:sz="4" w:space="0"/>
              <w:right w:val="single" w:color="auto" w:sz="4" w:space="0"/>
            </w:tcBorders>
            <w:vAlign w:val="center"/>
          </w:tcPr>
          <w:p w14:paraId="0FF2A070">
            <w:pPr>
              <w:widowControl/>
              <w:snapToGrid w:val="0"/>
              <w:jc w:val="left"/>
              <w:rPr>
                <w:rFonts w:hint="eastAsia" w:ascii="宋体" w:hAnsi="宋体" w:cs="宋体"/>
                <w:kern w:val="0"/>
                <w:sz w:val="20"/>
                <w:szCs w:val="20"/>
              </w:rPr>
            </w:pPr>
            <w:r>
              <w:rPr>
                <w:rFonts w:hint="eastAsia" w:ascii="宋体" w:hAnsi="宋体" w:cs="宋体"/>
                <w:kern w:val="0"/>
                <w:sz w:val="20"/>
                <w:szCs w:val="20"/>
              </w:rPr>
              <w:t>2</w:t>
            </w:r>
          </w:p>
        </w:tc>
        <w:tc>
          <w:tcPr>
            <w:tcW w:w="739" w:type="dxa"/>
            <w:tcBorders>
              <w:top w:val="single" w:color="auto" w:sz="4" w:space="0"/>
              <w:left w:val="single" w:color="auto" w:sz="4" w:space="0"/>
              <w:bottom w:val="single" w:color="auto" w:sz="4" w:space="0"/>
              <w:right w:val="single" w:color="auto" w:sz="4" w:space="0"/>
            </w:tcBorders>
            <w:vAlign w:val="center"/>
          </w:tcPr>
          <w:p w14:paraId="6A01B4BD">
            <w:pPr>
              <w:widowControl/>
              <w:snapToGrid w:val="0"/>
              <w:jc w:val="center"/>
              <w:rPr>
                <w:rFonts w:hint="eastAsia" w:ascii="宋体" w:hAnsi="宋体" w:cs="宋体"/>
                <w:kern w:val="0"/>
                <w:sz w:val="20"/>
                <w:szCs w:val="20"/>
              </w:rPr>
            </w:pPr>
          </w:p>
        </w:tc>
        <w:tc>
          <w:tcPr>
            <w:tcW w:w="1158" w:type="dxa"/>
            <w:tcBorders>
              <w:top w:val="single" w:color="auto" w:sz="4" w:space="0"/>
              <w:left w:val="single" w:color="auto" w:sz="4" w:space="0"/>
              <w:bottom w:val="single" w:color="auto" w:sz="4" w:space="0"/>
              <w:right w:val="single" w:color="auto" w:sz="4" w:space="0"/>
            </w:tcBorders>
            <w:vAlign w:val="center"/>
          </w:tcPr>
          <w:p w14:paraId="5E7F9E82">
            <w:pPr>
              <w:widowControl/>
              <w:snapToGrid w:val="0"/>
              <w:jc w:val="right"/>
              <w:rPr>
                <w:rFonts w:hint="eastAsia" w:ascii="宋体" w:hAnsi="宋体" w:cs="宋体"/>
                <w:kern w:val="0"/>
                <w:sz w:val="20"/>
                <w:szCs w:val="20"/>
              </w:rPr>
            </w:pPr>
            <w:r>
              <w:rPr>
                <w:rFonts w:hint="eastAsia" w:ascii="宋体" w:hAnsi="等线" w:cs="宋体"/>
                <w:color w:val="000000"/>
                <w:kern w:val="0"/>
                <w:sz w:val="20"/>
                <w:szCs w:val="20"/>
              </w:rPr>
              <w:t>配套采购</w:t>
            </w:r>
          </w:p>
        </w:tc>
      </w:tr>
      <w:tr w14:paraId="48AF7CBC">
        <w:tblPrEx>
          <w:tblCellMar>
            <w:top w:w="0" w:type="dxa"/>
            <w:left w:w="108" w:type="dxa"/>
            <w:bottom w:w="0" w:type="dxa"/>
            <w:right w:w="108" w:type="dxa"/>
          </w:tblCellMar>
        </w:tblPrEx>
        <w:trPr>
          <w:jc w:val="center"/>
        </w:trPr>
        <w:tc>
          <w:tcPr>
            <w:tcW w:w="523" w:type="dxa"/>
            <w:tcBorders>
              <w:top w:val="single" w:color="auto" w:sz="4" w:space="0"/>
              <w:left w:val="single" w:color="auto" w:sz="4" w:space="0"/>
              <w:bottom w:val="single" w:color="auto" w:sz="4" w:space="0"/>
              <w:right w:val="single" w:color="auto" w:sz="4" w:space="0"/>
            </w:tcBorders>
            <w:vAlign w:val="center"/>
          </w:tcPr>
          <w:p w14:paraId="51702796">
            <w:pPr>
              <w:widowControl/>
              <w:snapToGrid w:val="0"/>
              <w:jc w:val="center"/>
              <w:rPr>
                <w:rFonts w:hint="eastAsia" w:ascii="宋体" w:hAnsi="宋体" w:cs="宋体"/>
                <w:kern w:val="0"/>
                <w:sz w:val="20"/>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56AB8B65">
            <w:pPr>
              <w:widowControl/>
              <w:snapToGrid w:val="0"/>
              <w:jc w:val="center"/>
              <w:rPr>
                <w:rFonts w:hint="eastAsia" w:ascii="宋体" w:hAnsi="宋体" w:cs="宋体"/>
                <w:kern w:val="0"/>
                <w:sz w:val="20"/>
                <w:szCs w:val="20"/>
              </w:rPr>
            </w:pPr>
          </w:p>
        </w:tc>
        <w:tc>
          <w:tcPr>
            <w:tcW w:w="1256" w:type="dxa"/>
            <w:tcBorders>
              <w:top w:val="single" w:color="auto" w:sz="4" w:space="0"/>
              <w:left w:val="single" w:color="auto" w:sz="4" w:space="0"/>
              <w:bottom w:val="single" w:color="auto" w:sz="4" w:space="0"/>
              <w:right w:val="single" w:color="auto" w:sz="4" w:space="0"/>
            </w:tcBorders>
            <w:vAlign w:val="center"/>
          </w:tcPr>
          <w:p w14:paraId="0E0F7CBC">
            <w:pPr>
              <w:widowControl/>
              <w:snapToGrid w:val="0"/>
              <w:jc w:val="center"/>
              <w:rPr>
                <w:rFonts w:hint="eastAsia" w:ascii="宋体" w:hAnsi="宋体" w:cs="宋体"/>
                <w:kern w:val="0"/>
                <w:sz w:val="20"/>
                <w:szCs w:val="20"/>
              </w:rPr>
            </w:pPr>
          </w:p>
        </w:tc>
        <w:tc>
          <w:tcPr>
            <w:tcW w:w="3216" w:type="dxa"/>
            <w:tcBorders>
              <w:top w:val="single" w:color="auto" w:sz="4" w:space="0"/>
              <w:left w:val="single" w:color="auto" w:sz="4" w:space="0"/>
              <w:bottom w:val="single" w:color="auto" w:sz="4" w:space="0"/>
              <w:right w:val="single" w:color="auto" w:sz="4" w:space="0"/>
            </w:tcBorders>
            <w:vAlign w:val="center"/>
          </w:tcPr>
          <w:p w14:paraId="0330E003">
            <w:pPr>
              <w:widowControl/>
              <w:snapToGrid w:val="0"/>
              <w:jc w:val="left"/>
              <w:rPr>
                <w:rFonts w:hint="eastAsia" w:ascii="宋体" w:hAnsi="宋体" w:cs="宋体"/>
                <w:kern w:val="0"/>
                <w:sz w:val="20"/>
                <w:szCs w:val="20"/>
              </w:rPr>
            </w:pPr>
            <w:r>
              <w:rPr>
                <w:rFonts w:hint="eastAsia" w:ascii="宋体" w:hAnsi="宋体" w:cs="宋体"/>
                <w:kern w:val="0"/>
                <w:sz w:val="20"/>
                <w:szCs w:val="20"/>
              </w:rPr>
              <w:t>流量：</w:t>
            </w:r>
          </w:p>
        </w:tc>
        <w:tc>
          <w:tcPr>
            <w:tcW w:w="838" w:type="dxa"/>
            <w:tcBorders>
              <w:top w:val="single" w:color="auto" w:sz="4" w:space="0"/>
              <w:left w:val="single" w:color="auto" w:sz="4" w:space="0"/>
              <w:bottom w:val="single" w:color="auto" w:sz="4" w:space="0"/>
              <w:right w:val="single" w:color="auto" w:sz="4" w:space="0"/>
            </w:tcBorders>
            <w:vAlign w:val="center"/>
          </w:tcPr>
          <w:p w14:paraId="050E90E9">
            <w:pPr>
              <w:widowControl/>
              <w:snapToGrid w:val="0"/>
              <w:jc w:val="left"/>
              <w:rPr>
                <w:rFonts w:hint="eastAsia" w:ascii="宋体" w:hAnsi="宋体" w:cs="宋体"/>
                <w:kern w:val="0"/>
                <w:sz w:val="20"/>
                <w:szCs w:val="20"/>
              </w:rPr>
            </w:pPr>
          </w:p>
        </w:tc>
        <w:tc>
          <w:tcPr>
            <w:tcW w:w="739" w:type="dxa"/>
            <w:tcBorders>
              <w:top w:val="single" w:color="auto" w:sz="4" w:space="0"/>
              <w:left w:val="single" w:color="auto" w:sz="4" w:space="0"/>
              <w:bottom w:val="single" w:color="auto" w:sz="4" w:space="0"/>
              <w:right w:val="single" w:color="auto" w:sz="4" w:space="0"/>
            </w:tcBorders>
            <w:vAlign w:val="center"/>
          </w:tcPr>
          <w:p w14:paraId="1AD9E881">
            <w:pPr>
              <w:widowControl/>
              <w:snapToGrid w:val="0"/>
              <w:jc w:val="center"/>
              <w:rPr>
                <w:rFonts w:hint="eastAsia" w:ascii="宋体" w:hAnsi="宋体" w:cs="宋体"/>
                <w:kern w:val="0"/>
                <w:sz w:val="20"/>
                <w:szCs w:val="20"/>
              </w:rPr>
            </w:pPr>
          </w:p>
        </w:tc>
        <w:tc>
          <w:tcPr>
            <w:tcW w:w="1158" w:type="dxa"/>
            <w:tcBorders>
              <w:top w:val="single" w:color="auto" w:sz="4" w:space="0"/>
              <w:left w:val="single" w:color="auto" w:sz="4" w:space="0"/>
              <w:bottom w:val="single" w:color="auto" w:sz="4" w:space="0"/>
              <w:right w:val="single" w:color="auto" w:sz="4" w:space="0"/>
            </w:tcBorders>
            <w:vAlign w:val="center"/>
          </w:tcPr>
          <w:p w14:paraId="34B96DA1">
            <w:pPr>
              <w:widowControl/>
              <w:snapToGrid w:val="0"/>
              <w:jc w:val="right"/>
              <w:rPr>
                <w:rFonts w:hint="eastAsia" w:ascii="宋体" w:hAnsi="宋体" w:cs="宋体"/>
                <w:kern w:val="0"/>
                <w:sz w:val="20"/>
                <w:szCs w:val="20"/>
              </w:rPr>
            </w:pPr>
          </w:p>
        </w:tc>
      </w:tr>
      <w:tr w14:paraId="3514FD89">
        <w:tblPrEx>
          <w:tblCellMar>
            <w:top w:w="0" w:type="dxa"/>
            <w:left w:w="108" w:type="dxa"/>
            <w:bottom w:w="0" w:type="dxa"/>
            <w:right w:w="108" w:type="dxa"/>
          </w:tblCellMar>
        </w:tblPrEx>
        <w:trPr>
          <w:jc w:val="center"/>
        </w:trPr>
        <w:tc>
          <w:tcPr>
            <w:tcW w:w="523" w:type="dxa"/>
            <w:tcBorders>
              <w:top w:val="single" w:color="auto" w:sz="4" w:space="0"/>
              <w:left w:val="single" w:color="auto" w:sz="4" w:space="0"/>
              <w:bottom w:val="single" w:color="auto" w:sz="4" w:space="0"/>
              <w:right w:val="single" w:color="auto" w:sz="4" w:space="0"/>
            </w:tcBorders>
            <w:vAlign w:val="center"/>
          </w:tcPr>
          <w:p w14:paraId="0612588E">
            <w:pPr>
              <w:widowControl/>
              <w:snapToGrid w:val="0"/>
              <w:jc w:val="center"/>
              <w:rPr>
                <w:rFonts w:hint="eastAsia" w:ascii="宋体" w:hAnsi="宋体" w:cs="宋体"/>
                <w:kern w:val="0"/>
                <w:sz w:val="20"/>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08DBE7AD">
            <w:pPr>
              <w:widowControl/>
              <w:snapToGrid w:val="0"/>
              <w:jc w:val="center"/>
              <w:rPr>
                <w:rFonts w:hint="eastAsia" w:ascii="宋体" w:hAnsi="宋体" w:cs="宋体"/>
                <w:kern w:val="0"/>
                <w:sz w:val="20"/>
                <w:szCs w:val="20"/>
              </w:rPr>
            </w:pPr>
          </w:p>
        </w:tc>
        <w:tc>
          <w:tcPr>
            <w:tcW w:w="1256" w:type="dxa"/>
            <w:tcBorders>
              <w:top w:val="single" w:color="auto" w:sz="4" w:space="0"/>
              <w:left w:val="single" w:color="auto" w:sz="4" w:space="0"/>
              <w:bottom w:val="single" w:color="auto" w:sz="4" w:space="0"/>
              <w:right w:val="single" w:color="auto" w:sz="4" w:space="0"/>
            </w:tcBorders>
            <w:vAlign w:val="center"/>
          </w:tcPr>
          <w:p w14:paraId="77539224">
            <w:pPr>
              <w:widowControl/>
              <w:snapToGrid w:val="0"/>
              <w:jc w:val="center"/>
              <w:rPr>
                <w:rFonts w:hint="eastAsia" w:ascii="宋体" w:hAnsi="宋体" w:cs="宋体"/>
                <w:kern w:val="0"/>
                <w:sz w:val="20"/>
                <w:szCs w:val="20"/>
              </w:rPr>
            </w:pPr>
          </w:p>
        </w:tc>
        <w:tc>
          <w:tcPr>
            <w:tcW w:w="3216" w:type="dxa"/>
            <w:tcBorders>
              <w:top w:val="single" w:color="auto" w:sz="4" w:space="0"/>
              <w:left w:val="single" w:color="auto" w:sz="4" w:space="0"/>
              <w:bottom w:val="single" w:color="auto" w:sz="4" w:space="0"/>
              <w:right w:val="single" w:color="auto" w:sz="4" w:space="0"/>
            </w:tcBorders>
            <w:vAlign w:val="center"/>
          </w:tcPr>
          <w:p w14:paraId="5C1A550E">
            <w:pPr>
              <w:widowControl/>
              <w:snapToGrid w:val="0"/>
              <w:jc w:val="left"/>
              <w:rPr>
                <w:rFonts w:hint="eastAsia" w:ascii="宋体" w:hAnsi="宋体" w:cs="宋体"/>
                <w:kern w:val="0"/>
                <w:sz w:val="20"/>
                <w:szCs w:val="20"/>
              </w:rPr>
            </w:pPr>
            <w:r>
              <w:rPr>
                <w:rFonts w:hint="eastAsia" w:ascii="宋体" w:hAnsi="宋体" w:cs="宋体"/>
                <w:kern w:val="0"/>
                <w:sz w:val="20"/>
                <w:szCs w:val="20"/>
              </w:rPr>
              <w:t>扬程：</w:t>
            </w:r>
          </w:p>
        </w:tc>
        <w:tc>
          <w:tcPr>
            <w:tcW w:w="838" w:type="dxa"/>
            <w:tcBorders>
              <w:top w:val="single" w:color="auto" w:sz="4" w:space="0"/>
              <w:left w:val="single" w:color="auto" w:sz="4" w:space="0"/>
              <w:bottom w:val="single" w:color="auto" w:sz="4" w:space="0"/>
              <w:right w:val="single" w:color="auto" w:sz="4" w:space="0"/>
            </w:tcBorders>
            <w:vAlign w:val="center"/>
          </w:tcPr>
          <w:p w14:paraId="793DDC2A">
            <w:pPr>
              <w:widowControl/>
              <w:snapToGrid w:val="0"/>
              <w:jc w:val="left"/>
              <w:rPr>
                <w:rFonts w:hint="eastAsia" w:ascii="宋体" w:hAnsi="宋体" w:cs="宋体"/>
                <w:kern w:val="0"/>
                <w:sz w:val="20"/>
                <w:szCs w:val="20"/>
              </w:rPr>
            </w:pPr>
          </w:p>
        </w:tc>
        <w:tc>
          <w:tcPr>
            <w:tcW w:w="739" w:type="dxa"/>
            <w:tcBorders>
              <w:top w:val="single" w:color="auto" w:sz="4" w:space="0"/>
              <w:left w:val="single" w:color="auto" w:sz="4" w:space="0"/>
              <w:bottom w:val="single" w:color="auto" w:sz="4" w:space="0"/>
              <w:right w:val="single" w:color="auto" w:sz="4" w:space="0"/>
            </w:tcBorders>
            <w:vAlign w:val="center"/>
          </w:tcPr>
          <w:p w14:paraId="55342E8B">
            <w:pPr>
              <w:widowControl/>
              <w:snapToGrid w:val="0"/>
              <w:jc w:val="center"/>
              <w:rPr>
                <w:rFonts w:hint="eastAsia" w:ascii="宋体" w:hAnsi="宋体" w:cs="宋体"/>
                <w:kern w:val="0"/>
                <w:sz w:val="20"/>
                <w:szCs w:val="20"/>
              </w:rPr>
            </w:pPr>
          </w:p>
        </w:tc>
        <w:tc>
          <w:tcPr>
            <w:tcW w:w="1158" w:type="dxa"/>
            <w:tcBorders>
              <w:top w:val="single" w:color="auto" w:sz="4" w:space="0"/>
              <w:left w:val="single" w:color="auto" w:sz="4" w:space="0"/>
              <w:bottom w:val="single" w:color="auto" w:sz="4" w:space="0"/>
              <w:right w:val="single" w:color="auto" w:sz="4" w:space="0"/>
            </w:tcBorders>
            <w:vAlign w:val="center"/>
          </w:tcPr>
          <w:p w14:paraId="4DEA6AEE">
            <w:pPr>
              <w:widowControl/>
              <w:snapToGrid w:val="0"/>
              <w:jc w:val="right"/>
              <w:rPr>
                <w:rFonts w:hint="eastAsia" w:ascii="宋体" w:hAnsi="宋体" w:cs="宋体"/>
                <w:kern w:val="0"/>
                <w:sz w:val="20"/>
                <w:szCs w:val="20"/>
              </w:rPr>
            </w:pPr>
          </w:p>
        </w:tc>
      </w:tr>
      <w:tr w14:paraId="152DB821">
        <w:tblPrEx>
          <w:tblCellMar>
            <w:top w:w="0" w:type="dxa"/>
            <w:left w:w="108" w:type="dxa"/>
            <w:bottom w:w="0" w:type="dxa"/>
            <w:right w:w="108" w:type="dxa"/>
          </w:tblCellMar>
        </w:tblPrEx>
        <w:trPr>
          <w:jc w:val="center"/>
        </w:trPr>
        <w:tc>
          <w:tcPr>
            <w:tcW w:w="523" w:type="dxa"/>
            <w:tcBorders>
              <w:top w:val="single" w:color="auto" w:sz="4" w:space="0"/>
              <w:left w:val="single" w:color="auto" w:sz="4" w:space="0"/>
              <w:bottom w:val="single" w:color="auto" w:sz="4" w:space="0"/>
              <w:right w:val="single" w:color="auto" w:sz="4" w:space="0"/>
            </w:tcBorders>
            <w:vAlign w:val="center"/>
          </w:tcPr>
          <w:p w14:paraId="154A9B34">
            <w:pPr>
              <w:widowControl/>
              <w:snapToGrid w:val="0"/>
              <w:jc w:val="center"/>
              <w:rPr>
                <w:rFonts w:hint="eastAsia" w:ascii="宋体" w:hAnsi="宋体" w:cs="宋体"/>
                <w:kern w:val="0"/>
                <w:sz w:val="20"/>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6A30CE30">
            <w:pPr>
              <w:widowControl/>
              <w:snapToGrid w:val="0"/>
              <w:jc w:val="center"/>
              <w:rPr>
                <w:rFonts w:hint="eastAsia" w:ascii="宋体" w:hAnsi="宋体" w:cs="宋体"/>
                <w:kern w:val="0"/>
                <w:sz w:val="20"/>
                <w:szCs w:val="20"/>
              </w:rPr>
            </w:pPr>
          </w:p>
        </w:tc>
        <w:tc>
          <w:tcPr>
            <w:tcW w:w="1256" w:type="dxa"/>
            <w:tcBorders>
              <w:top w:val="single" w:color="auto" w:sz="4" w:space="0"/>
              <w:left w:val="single" w:color="auto" w:sz="4" w:space="0"/>
              <w:bottom w:val="single" w:color="auto" w:sz="4" w:space="0"/>
              <w:right w:val="single" w:color="auto" w:sz="4" w:space="0"/>
            </w:tcBorders>
            <w:vAlign w:val="center"/>
          </w:tcPr>
          <w:p w14:paraId="6D62FF65">
            <w:pPr>
              <w:widowControl/>
              <w:snapToGrid w:val="0"/>
              <w:jc w:val="center"/>
              <w:rPr>
                <w:rFonts w:hint="eastAsia" w:ascii="宋体" w:hAnsi="宋体" w:cs="宋体"/>
                <w:kern w:val="0"/>
                <w:sz w:val="20"/>
                <w:szCs w:val="20"/>
              </w:rPr>
            </w:pPr>
          </w:p>
        </w:tc>
        <w:tc>
          <w:tcPr>
            <w:tcW w:w="3216" w:type="dxa"/>
            <w:tcBorders>
              <w:top w:val="single" w:color="auto" w:sz="4" w:space="0"/>
              <w:left w:val="single" w:color="auto" w:sz="4" w:space="0"/>
              <w:bottom w:val="single" w:color="auto" w:sz="4" w:space="0"/>
              <w:right w:val="single" w:color="auto" w:sz="4" w:space="0"/>
            </w:tcBorders>
            <w:vAlign w:val="center"/>
          </w:tcPr>
          <w:p w14:paraId="09ECBE7B">
            <w:pPr>
              <w:widowControl/>
              <w:snapToGrid w:val="0"/>
              <w:jc w:val="left"/>
              <w:rPr>
                <w:rFonts w:hint="eastAsia" w:ascii="宋体" w:hAnsi="宋体" w:cs="宋体"/>
                <w:kern w:val="0"/>
                <w:sz w:val="20"/>
                <w:szCs w:val="20"/>
              </w:rPr>
            </w:pPr>
            <w:r>
              <w:rPr>
                <w:rFonts w:hint="eastAsia" w:ascii="宋体" w:hAnsi="宋体" w:cs="宋体"/>
                <w:kern w:val="0"/>
                <w:sz w:val="20"/>
                <w:szCs w:val="20"/>
              </w:rPr>
              <w:t>减温水温度：常温</w:t>
            </w:r>
          </w:p>
        </w:tc>
        <w:tc>
          <w:tcPr>
            <w:tcW w:w="838" w:type="dxa"/>
            <w:tcBorders>
              <w:top w:val="single" w:color="auto" w:sz="4" w:space="0"/>
              <w:left w:val="single" w:color="auto" w:sz="4" w:space="0"/>
              <w:bottom w:val="single" w:color="auto" w:sz="4" w:space="0"/>
              <w:right w:val="single" w:color="auto" w:sz="4" w:space="0"/>
            </w:tcBorders>
            <w:vAlign w:val="center"/>
          </w:tcPr>
          <w:p w14:paraId="5A5420AA">
            <w:pPr>
              <w:widowControl/>
              <w:snapToGrid w:val="0"/>
              <w:jc w:val="left"/>
              <w:rPr>
                <w:rFonts w:hint="eastAsia" w:ascii="宋体" w:hAnsi="宋体" w:cs="宋体"/>
                <w:kern w:val="0"/>
                <w:sz w:val="20"/>
                <w:szCs w:val="20"/>
              </w:rPr>
            </w:pPr>
          </w:p>
        </w:tc>
        <w:tc>
          <w:tcPr>
            <w:tcW w:w="739" w:type="dxa"/>
            <w:tcBorders>
              <w:top w:val="single" w:color="auto" w:sz="4" w:space="0"/>
              <w:left w:val="single" w:color="auto" w:sz="4" w:space="0"/>
              <w:bottom w:val="single" w:color="auto" w:sz="4" w:space="0"/>
              <w:right w:val="single" w:color="auto" w:sz="4" w:space="0"/>
            </w:tcBorders>
            <w:vAlign w:val="center"/>
          </w:tcPr>
          <w:p w14:paraId="68760B7F">
            <w:pPr>
              <w:widowControl/>
              <w:snapToGrid w:val="0"/>
              <w:jc w:val="center"/>
              <w:rPr>
                <w:rFonts w:hint="eastAsia" w:ascii="宋体" w:hAnsi="宋体" w:cs="宋体"/>
                <w:kern w:val="0"/>
                <w:sz w:val="20"/>
                <w:szCs w:val="20"/>
              </w:rPr>
            </w:pPr>
          </w:p>
        </w:tc>
        <w:tc>
          <w:tcPr>
            <w:tcW w:w="1158" w:type="dxa"/>
            <w:tcBorders>
              <w:top w:val="single" w:color="auto" w:sz="4" w:space="0"/>
              <w:left w:val="single" w:color="auto" w:sz="4" w:space="0"/>
              <w:bottom w:val="single" w:color="auto" w:sz="4" w:space="0"/>
              <w:right w:val="single" w:color="auto" w:sz="4" w:space="0"/>
            </w:tcBorders>
            <w:vAlign w:val="center"/>
          </w:tcPr>
          <w:p w14:paraId="13A3FD00">
            <w:pPr>
              <w:widowControl/>
              <w:snapToGrid w:val="0"/>
              <w:jc w:val="right"/>
              <w:rPr>
                <w:rFonts w:hint="eastAsia" w:ascii="宋体" w:hAnsi="宋体" w:cs="宋体"/>
                <w:kern w:val="0"/>
                <w:sz w:val="20"/>
                <w:szCs w:val="20"/>
              </w:rPr>
            </w:pPr>
          </w:p>
        </w:tc>
      </w:tr>
      <w:tr w14:paraId="028C0A51">
        <w:tblPrEx>
          <w:tblCellMar>
            <w:top w:w="0" w:type="dxa"/>
            <w:left w:w="108" w:type="dxa"/>
            <w:bottom w:w="0" w:type="dxa"/>
            <w:right w:w="108" w:type="dxa"/>
          </w:tblCellMar>
        </w:tblPrEx>
        <w:trPr>
          <w:jc w:val="center"/>
        </w:trPr>
        <w:tc>
          <w:tcPr>
            <w:tcW w:w="523" w:type="dxa"/>
            <w:tcBorders>
              <w:top w:val="single" w:color="auto" w:sz="4" w:space="0"/>
              <w:left w:val="single" w:color="auto" w:sz="4" w:space="0"/>
              <w:bottom w:val="single" w:color="auto" w:sz="4" w:space="0"/>
              <w:right w:val="single" w:color="auto" w:sz="4" w:space="0"/>
            </w:tcBorders>
            <w:vAlign w:val="center"/>
          </w:tcPr>
          <w:p w14:paraId="67B00472">
            <w:pPr>
              <w:widowControl/>
              <w:snapToGrid w:val="0"/>
              <w:jc w:val="center"/>
              <w:rPr>
                <w:rFonts w:hint="eastAsia" w:ascii="宋体" w:hAnsi="宋体" w:cs="宋体"/>
                <w:kern w:val="0"/>
                <w:sz w:val="20"/>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66A782A5">
            <w:pPr>
              <w:widowControl/>
              <w:snapToGrid w:val="0"/>
              <w:jc w:val="center"/>
              <w:rPr>
                <w:rFonts w:hint="eastAsia" w:ascii="宋体" w:hAnsi="宋体" w:cs="宋体"/>
                <w:kern w:val="0"/>
                <w:sz w:val="20"/>
                <w:szCs w:val="20"/>
              </w:rPr>
            </w:pPr>
          </w:p>
        </w:tc>
        <w:tc>
          <w:tcPr>
            <w:tcW w:w="1256" w:type="dxa"/>
            <w:tcBorders>
              <w:top w:val="single" w:color="auto" w:sz="4" w:space="0"/>
              <w:left w:val="single" w:color="auto" w:sz="4" w:space="0"/>
              <w:bottom w:val="single" w:color="auto" w:sz="4" w:space="0"/>
              <w:right w:val="single" w:color="auto" w:sz="4" w:space="0"/>
            </w:tcBorders>
            <w:vAlign w:val="center"/>
          </w:tcPr>
          <w:p w14:paraId="434BF019">
            <w:pPr>
              <w:widowControl/>
              <w:snapToGrid w:val="0"/>
              <w:jc w:val="center"/>
              <w:rPr>
                <w:rFonts w:hint="eastAsia" w:ascii="宋体" w:hAnsi="宋体" w:cs="宋体"/>
                <w:kern w:val="0"/>
                <w:sz w:val="20"/>
                <w:szCs w:val="20"/>
              </w:rPr>
            </w:pPr>
          </w:p>
        </w:tc>
        <w:tc>
          <w:tcPr>
            <w:tcW w:w="3216" w:type="dxa"/>
            <w:tcBorders>
              <w:top w:val="single" w:color="auto" w:sz="4" w:space="0"/>
              <w:left w:val="single" w:color="auto" w:sz="4" w:space="0"/>
              <w:bottom w:val="single" w:color="auto" w:sz="4" w:space="0"/>
              <w:right w:val="single" w:color="auto" w:sz="4" w:space="0"/>
            </w:tcBorders>
            <w:vAlign w:val="center"/>
          </w:tcPr>
          <w:p w14:paraId="5346C819">
            <w:pPr>
              <w:widowControl/>
              <w:snapToGrid w:val="0"/>
              <w:jc w:val="left"/>
              <w:rPr>
                <w:rFonts w:hint="eastAsia" w:ascii="宋体" w:hAnsi="宋体" w:eastAsia="宋体" w:cs="宋体"/>
                <w:kern w:val="0"/>
                <w:sz w:val="20"/>
                <w:szCs w:val="20"/>
                <w:lang w:val="en-US" w:eastAsia="zh-CN"/>
              </w:rPr>
            </w:pPr>
            <w:r>
              <w:rPr>
                <w:rFonts w:hint="eastAsia" w:ascii="宋体" w:hAnsi="宋体" w:cs="宋体"/>
                <w:kern w:val="0"/>
                <w:sz w:val="20"/>
                <w:szCs w:val="20"/>
              </w:rPr>
              <w:t>减温水压力：</w:t>
            </w:r>
            <w:r>
              <w:rPr>
                <w:rFonts w:hint="eastAsia" w:ascii="宋体" w:hAnsi="宋体" w:cs="宋体"/>
                <w:kern w:val="0"/>
                <w:sz w:val="20"/>
                <w:szCs w:val="20"/>
                <w:lang w:eastAsia="zh-CN"/>
              </w:rPr>
              <w:t>常压</w:t>
            </w:r>
          </w:p>
        </w:tc>
        <w:tc>
          <w:tcPr>
            <w:tcW w:w="838" w:type="dxa"/>
            <w:tcBorders>
              <w:top w:val="single" w:color="auto" w:sz="4" w:space="0"/>
              <w:left w:val="single" w:color="auto" w:sz="4" w:space="0"/>
              <w:bottom w:val="single" w:color="auto" w:sz="4" w:space="0"/>
              <w:right w:val="single" w:color="auto" w:sz="4" w:space="0"/>
            </w:tcBorders>
            <w:vAlign w:val="center"/>
          </w:tcPr>
          <w:p w14:paraId="5D7738D4">
            <w:pPr>
              <w:widowControl/>
              <w:snapToGrid w:val="0"/>
              <w:jc w:val="left"/>
              <w:rPr>
                <w:rFonts w:hint="eastAsia" w:ascii="宋体" w:hAnsi="宋体" w:cs="宋体"/>
                <w:kern w:val="0"/>
                <w:sz w:val="20"/>
                <w:szCs w:val="20"/>
              </w:rPr>
            </w:pPr>
          </w:p>
        </w:tc>
        <w:tc>
          <w:tcPr>
            <w:tcW w:w="739" w:type="dxa"/>
            <w:tcBorders>
              <w:top w:val="single" w:color="auto" w:sz="4" w:space="0"/>
              <w:left w:val="single" w:color="auto" w:sz="4" w:space="0"/>
              <w:bottom w:val="single" w:color="auto" w:sz="4" w:space="0"/>
              <w:right w:val="single" w:color="auto" w:sz="4" w:space="0"/>
            </w:tcBorders>
            <w:vAlign w:val="center"/>
          </w:tcPr>
          <w:p w14:paraId="41CBFD60">
            <w:pPr>
              <w:widowControl/>
              <w:snapToGrid w:val="0"/>
              <w:jc w:val="center"/>
              <w:rPr>
                <w:rFonts w:hint="eastAsia" w:ascii="宋体" w:hAnsi="宋体" w:cs="宋体"/>
                <w:kern w:val="0"/>
                <w:sz w:val="20"/>
                <w:szCs w:val="20"/>
              </w:rPr>
            </w:pPr>
          </w:p>
        </w:tc>
        <w:tc>
          <w:tcPr>
            <w:tcW w:w="1158" w:type="dxa"/>
            <w:tcBorders>
              <w:top w:val="single" w:color="auto" w:sz="4" w:space="0"/>
              <w:left w:val="single" w:color="auto" w:sz="4" w:space="0"/>
              <w:bottom w:val="single" w:color="auto" w:sz="4" w:space="0"/>
              <w:right w:val="single" w:color="auto" w:sz="4" w:space="0"/>
            </w:tcBorders>
            <w:vAlign w:val="center"/>
          </w:tcPr>
          <w:p w14:paraId="49C415FB">
            <w:pPr>
              <w:widowControl/>
              <w:snapToGrid w:val="0"/>
              <w:jc w:val="right"/>
              <w:rPr>
                <w:rFonts w:hint="eastAsia" w:ascii="宋体" w:hAnsi="宋体" w:cs="宋体"/>
                <w:kern w:val="0"/>
                <w:sz w:val="20"/>
                <w:szCs w:val="20"/>
              </w:rPr>
            </w:pPr>
          </w:p>
        </w:tc>
      </w:tr>
      <w:tr w14:paraId="77A630D0">
        <w:tblPrEx>
          <w:tblCellMar>
            <w:top w:w="0" w:type="dxa"/>
            <w:left w:w="108" w:type="dxa"/>
            <w:bottom w:w="0" w:type="dxa"/>
            <w:right w:w="108" w:type="dxa"/>
          </w:tblCellMar>
        </w:tblPrEx>
        <w:trPr>
          <w:jc w:val="center"/>
        </w:trPr>
        <w:tc>
          <w:tcPr>
            <w:tcW w:w="523" w:type="dxa"/>
            <w:tcBorders>
              <w:top w:val="single" w:color="auto" w:sz="4" w:space="0"/>
              <w:left w:val="single" w:color="auto" w:sz="4" w:space="0"/>
              <w:bottom w:val="single" w:color="auto" w:sz="4" w:space="0"/>
              <w:right w:val="single" w:color="auto" w:sz="4" w:space="0"/>
            </w:tcBorders>
            <w:vAlign w:val="center"/>
          </w:tcPr>
          <w:p w14:paraId="6E506EAE">
            <w:pPr>
              <w:widowControl/>
              <w:snapToGrid w:val="0"/>
              <w:jc w:val="center"/>
              <w:rPr>
                <w:rFonts w:hint="eastAsia" w:ascii="宋体" w:hAnsi="宋体" w:cs="宋体"/>
                <w:kern w:val="0"/>
                <w:sz w:val="20"/>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1EB2F722">
            <w:pPr>
              <w:widowControl/>
              <w:snapToGrid w:val="0"/>
              <w:jc w:val="center"/>
              <w:rPr>
                <w:rFonts w:hint="eastAsia" w:ascii="宋体" w:hAnsi="宋体" w:cs="宋体"/>
                <w:kern w:val="0"/>
                <w:sz w:val="20"/>
                <w:szCs w:val="20"/>
              </w:rPr>
            </w:pPr>
          </w:p>
        </w:tc>
        <w:tc>
          <w:tcPr>
            <w:tcW w:w="1256" w:type="dxa"/>
            <w:tcBorders>
              <w:top w:val="single" w:color="auto" w:sz="4" w:space="0"/>
              <w:left w:val="single" w:color="auto" w:sz="4" w:space="0"/>
              <w:bottom w:val="single" w:color="auto" w:sz="4" w:space="0"/>
              <w:right w:val="single" w:color="auto" w:sz="4" w:space="0"/>
            </w:tcBorders>
            <w:vAlign w:val="center"/>
          </w:tcPr>
          <w:p w14:paraId="52BF98CF">
            <w:pPr>
              <w:widowControl/>
              <w:snapToGrid w:val="0"/>
              <w:jc w:val="center"/>
              <w:rPr>
                <w:rFonts w:hint="eastAsia" w:ascii="宋体" w:hAnsi="宋体" w:cs="宋体"/>
                <w:kern w:val="0"/>
                <w:sz w:val="20"/>
                <w:szCs w:val="20"/>
              </w:rPr>
            </w:pPr>
          </w:p>
        </w:tc>
        <w:tc>
          <w:tcPr>
            <w:tcW w:w="3216" w:type="dxa"/>
            <w:tcBorders>
              <w:top w:val="single" w:color="auto" w:sz="4" w:space="0"/>
              <w:left w:val="single" w:color="auto" w:sz="4" w:space="0"/>
              <w:bottom w:val="single" w:color="auto" w:sz="4" w:space="0"/>
              <w:right w:val="single" w:color="auto" w:sz="4" w:space="0"/>
            </w:tcBorders>
            <w:vAlign w:val="center"/>
          </w:tcPr>
          <w:p w14:paraId="1B5625A7">
            <w:pPr>
              <w:widowControl/>
              <w:snapToGrid w:val="0"/>
              <w:jc w:val="left"/>
              <w:rPr>
                <w:rFonts w:hint="eastAsia" w:ascii="宋体" w:hAnsi="宋体" w:cs="宋体"/>
                <w:kern w:val="0"/>
                <w:sz w:val="20"/>
                <w:szCs w:val="20"/>
              </w:rPr>
            </w:pPr>
            <w:r>
              <w:rPr>
                <w:rFonts w:hint="eastAsia" w:ascii="宋体" w:hAnsi="宋体" w:cs="宋体"/>
                <w:kern w:val="0"/>
                <w:sz w:val="20"/>
                <w:szCs w:val="20"/>
              </w:rPr>
              <w:t>功率：</w:t>
            </w:r>
          </w:p>
        </w:tc>
        <w:tc>
          <w:tcPr>
            <w:tcW w:w="838" w:type="dxa"/>
            <w:tcBorders>
              <w:top w:val="single" w:color="auto" w:sz="4" w:space="0"/>
              <w:left w:val="single" w:color="auto" w:sz="4" w:space="0"/>
              <w:bottom w:val="single" w:color="auto" w:sz="4" w:space="0"/>
              <w:right w:val="single" w:color="auto" w:sz="4" w:space="0"/>
            </w:tcBorders>
            <w:vAlign w:val="center"/>
          </w:tcPr>
          <w:p w14:paraId="52EF3316">
            <w:pPr>
              <w:widowControl/>
              <w:snapToGrid w:val="0"/>
              <w:jc w:val="left"/>
              <w:rPr>
                <w:rFonts w:hint="eastAsia" w:ascii="宋体" w:hAnsi="宋体" w:cs="宋体"/>
                <w:kern w:val="0"/>
                <w:sz w:val="20"/>
                <w:szCs w:val="20"/>
              </w:rPr>
            </w:pPr>
          </w:p>
        </w:tc>
        <w:tc>
          <w:tcPr>
            <w:tcW w:w="739" w:type="dxa"/>
            <w:tcBorders>
              <w:top w:val="single" w:color="auto" w:sz="4" w:space="0"/>
              <w:left w:val="single" w:color="auto" w:sz="4" w:space="0"/>
              <w:bottom w:val="single" w:color="auto" w:sz="4" w:space="0"/>
              <w:right w:val="single" w:color="auto" w:sz="4" w:space="0"/>
            </w:tcBorders>
            <w:vAlign w:val="center"/>
          </w:tcPr>
          <w:p w14:paraId="3D87AE68">
            <w:pPr>
              <w:widowControl/>
              <w:snapToGrid w:val="0"/>
              <w:jc w:val="center"/>
              <w:rPr>
                <w:rFonts w:hint="eastAsia" w:ascii="宋体" w:hAnsi="宋体" w:cs="宋体"/>
                <w:kern w:val="0"/>
                <w:sz w:val="20"/>
                <w:szCs w:val="20"/>
              </w:rPr>
            </w:pPr>
          </w:p>
        </w:tc>
        <w:tc>
          <w:tcPr>
            <w:tcW w:w="1158" w:type="dxa"/>
            <w:tcBorders>
              <w:top w:val="single" w:color="auto" w:sz="4" w:space="0"/>
              <w:left w:val="single" w:color="auto" w:sz="4" w:space="0"/>
              <w:bottom w:val="single" w:color="auto" w:sz="4" w:space="0"/>
              <w:right w:val="single" w:color="auto" w:sz="4" w:space="0"/>
            </w:tcBorders>
            <w:vAlign w:val="center"/>
          </w:tcPr>
          <w:p w14:paraId="193A9656">
            <w:pPr>
              <w:widowControl/>
              <w:snapToGrid w:val="0"/>
              <w:jc w:val="right"/>
              <w:rPr>
                <w:rFonts w:hint="eastAsia" w:ascii="宋体" w:hAnsi="宋体" w:cs="宋体"/>
                <w:kern w:val="0"/>
                <w:sz w:val="20"/>
                <w:szCs w:val="20"/>
              </w:rPr>
            </w:pPr>
          </w:p>
        </w:tc>
      </w:tr>
    </w:tbl>
    <w:p w14:paraId="1D86A769"/>
    <w:p w14:paraId="51D124BC">
      <w:pPr>
        <w:pStyle w:val="2"/>
        <w:spacing w:before="156" w:beforeLines="50" w:after="156" w:afterLines="50" w:line="360" w:lineRule="auto"/>
        <w:ind w:left="369" w:hanging="369"/>
        <w:rPr>
          <w:rFonts w:ascii="Times New Roman" w:hAnsi="Times New Roman" w:eastAsia="宋体" w:cs="宋体"/>
          <w:b/>
          <w:color w:val="EE0000"/>
          <w:sz w:val="28"/>
          <w:szCs w:val="28"/>
        </w:rPr>
      </w:pPr>
      <w:bookmarkStart w:id="2" w:name="_Toc2324"/>
      <w:r>
        <w:rPr>
          <w:rFonts w:hint="eastAsia" w:ascii="Times New Roman" w:hAnsi="Times New Roman" w:eastAsia="宋体" w:cs="宋体"/>
          <w:b/>
          <w:color w:val="EE0000"/>
          <w:sz w:val="28"/>
          <w:szCs w:val="28"/>
        </w:rPr>
        <w:t>3.技术要求</w:t>
      </w:r>
      <w:bookmarkEnd w:id="2"/>
    </w:p>
    <w:p w14:paraId="3459C60C">
      <w:pPr>
        <w:pStyle w:val="35"/>
        <w:numPr>
          <w:numId w:val="0"/>
        </w:numPr>
        <w:spacing w:line="360" w:lineRule="auto"/>
        <w:ind w:leftChars="200"/>
        <w:contextualSpacing w:val="0"/>
        <w:rPr>
          <w:rFonts w:hint="eastAsia" w:ascii="宋体" w:hAnsi="宋体"/>
          <w:color w:val="EE0000"/>
          <w:sz w:val="24"/>
        </w:rPr>
      </w:pPr>
      <w:r>
        <w:rPr>
          <w:rFonts w:hint="eastAsia" w:ascii="宋体" w:hAnsi="宋体"/>
          <w:color w:val="EE0000"/>
          <w:sz w:val="24"/>
          <w:lang w:val="en-US" w:eastAsia="zh-CN"/>
        </w:rPr>
        <w:t>3.1</w:t>
      </w:r>
      <w:r>
        <w:rPr>
          <w:rFonts w:hint="eastAsia" w:ascii="宋体" w:hAnsi="宋体"/>
          <w:color w:val="EE0000"/>
          <w:sz w:val="24"/>
        </w:rPr>
        <w:t>设计规范:</w:t>
      </w:r>
    </w:p>
    <w:tbl>
      <w:tblPr>
        <w:tblStyle w:val="18"/>
        <w:tblW w:w="889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558"/>
        <w:gridCol w:w="3334"/>
      </w:tblGrid>
      <w:tr w14:paraId="600A56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7" w:hRule="atLeast"/>
          <w:jc w:val="center"/>
        </w:trPr>
        <w:tc>
          <w:tcPr>
            <w:tcW w:w="5558" w:type="dxa"/>
            <w:tcBorders>
              <w:top w:val="single" w:color="auto" w:sz="4" w:space="0"/>
              <w:left w:val="single" w:color="auto" w:sz="4" w:space="0"/>
              <w:bottom w:val="single" w:color="auto" w:sz="4" w:space="0"/>
              <w:right w:val="single" w:color="auto" w:sz="4" w:space="0"/>
            </w:tcBorders>
            <w:vAlign w:val="center"/>
          </w:tcPr>
          <w:p w14:paraId="1FAEB388">
            <w:pPr>
              <w:widowControl/>
              <w:spacing w:line="480" w:lineRule="exact"/>
              <w:jc w:val="left"/>
              <w:textAlignment w:val="center"/>
              <w:rPr>
                <w:rFonts w:hint="eastAsia" w:ascii="宋体" w:hAnsi="宋体" w:eastAsia="宋体" w:cs="宋体"/>
                <w:color w:val="auto"/>
                <w:kern w:val="0"/>
                <w:sz w:val="24"/>
                <w:szCs w:val="24"/>
                <w:lang w:eastAsia="zh-CN" w:bidi="ar"/>
              </w:rPr>
            </w:pPr>
            <w:r>
              <w:rPr>
                <w:rFonts w:hint="eastAsia" w:ascii="宋体" w:hAnsi="宋体" w:eastAsia="宋体" w:cs="宋体"/>
                <w:color w:val="auto"/>
                <w:kern w:val="0"/>
                <w:sz w:val="24"/>
                <w:szCs w:val="24"/>
                <w:lang w:eastAsia="zh-CN" w:bidi="ar"/>
              </w:rPr>
              <w:t>《减温减压装置》</w:t>
            </w:r>
          </w:p>
        </w:tc>
        <w:tc>
          <w:tcPr>
            <w:tcW w:w="3334" w:type="dxa"/>
            <w:tcBorders>
              <w:top w:val="single" w:color="auto" w:sz="4" w:space="0"/>
              <w:left w:val="single" w:color="auto" w:sz="4" w:space="0"/>
              <w:bottom w:val="single" w:color="auto" w:sz="4" w:space="0"/>
              <w:right w:val="single" w:color="auto" w:sz="4" w:space="0"/>
            </w:tcBorders>
            <w:vAlign w:val="center"/>
          </w:tcPr>
          <w:p w14:paraId="42AED6D4">
            <w:pPr>
              <w:widowControl/>
              <w:spacing w:line="480" w:lineRule="exact"/>
              <w:jc w:val="left"/>
              <w:textAlignment w:val="center"/>
              <w:rPr>
                <w:rFonts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NB/T 47033-2013</w:t>
            </w:r>
          </w:p>
        </w:tc>
      </w:tr>
      <w:tr w14:paraId="105486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7" w:hRule="atLeast"/>
          <w:jc w:val="center"/>
        </w:trPr>
        <w:tc>
          <w:tcPr>
            <w:tcW w:w="5558" w:type="dxa"/>
            <w:tcBorders>
              <w:top w:val="single" w:color="auto" w:sz="4" w:space="0"/>
              <w:left w:val="single" w:color="auto" w:sz="4" w:space="0"/>
              <w:bottom w:val="single" w:color="auto" w:sz="4" w:space="0"/>
              <w:right w:val="single" w:color="auto" w:sz="4" w:space="0"/>
            </w:tcBorders>
            <w:vAlign w:val="center"/>
          </w:tcPr>
          <w:p w14:paraId="626283F2">
            <w:pPr>
              <w:widowControl/>
              <w:spacing w:line="480" w:lineRule="exact"/>
              <w:jc w:val="left"/>
              <w:textAlignment w:val="center"/>
              <w:rPr>
                <w:rFonts w:ascii="宋体" w:hAnsi="宋体" w:eastAsia="宋体" w:cs="宋体"/>
                <w:color w:val="auto"/>
                <w:kern w:val="0"/>
                <w:sz w:val="24"/>
                <w:szCs w:val="24"/>
                <w:lang w:bidi="ar"/>
              </w:rPr>
            </w:pPr>
            <w:r>
              <w:rPr>
                <w:rFonts w:hint="eastAsia" w:ascii="宋体" w:hAnsi="宋体" w:eastAsia="宋体" w:cs="宋体"/>
                <w:color w:val="auto"/>
                <w:kern w:val="0"/>
                <w:sz w:val="24"/>
                <w:szCs w:val="24"/>
                <w:lang w:eastAsia="zh-CN" w:bidi="ar"/>
              </w:rPr>
              <w:t>《电站减温减压装置订货、验收导则》</w:t>
            </w:r>
          </w:p>
        </w:tc>
        <w:tc>
          <w:tcPr>
            <w:tcW w:w="3334" w:type="dxa"/>
            <w:tcBorders>
              <w:top w:val="single" w:color="auto" w:sz="4" w:space="0"/>
              <w:left w:val="single" w:color="auto" w:sz="4" w:space="0"/>
              <w:bottom w:val="single" w:color="auto" w:sz="4" w:space="0"/>
              <w:right w:val="single" w:color="auto" w:sz="4" w:space="0"/>
            </w:tcBorders>
            <w:vAlign w:val="center"/>
          </w:tcPr>
          <w:p w14:paraId="53F2A8BA">
            <w:pPr>
              <w:widowControl/>
              <w:spacing w:line="480" w:lineRule="exact"/>
              <w:jc w:val="left"/>
              <w:textAlignment w:val="center"/>
              <w:rPr>
                <w:rFonts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 xml:space="preserve"> DL/T 1849-2018</w:t>
            </w:r>
          </w:p>
        </w:tc>
      </w:tr>
      <w:tr w14:paraId="360769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7" w:hRule="atLeast"/>
          <w:jc w:val="center"/>
        </w:trPr>
        <w:tc>
          <w:tcPr>
            <w:tcW w:w="5558" w:type="dxa"/>
            <w:tcBorders>
              <w:top w:val="single" w:color="auto" w:sz="4" w:space="0"/>
              <w:left w:val="single" w:color="auto" w:sz="4" w:space="0"/>
              <w:bottom w:val="single" w:color="auto" w:sz="4" w:space="0"/>
              <w:right w:val="single" w:color="auto" w:sz="4" w:space="0"/>
            </w:tcBorders>
            <w:vAlign w:val="center"/>
          </w:tcPr>
          <w:p w14:paraId="6687F97B">
            <w:pPr>
              <w:widowControl/>
              <w:spacing w:line="480" w:lineRule="exact"/>
              <w:jc w:val="left"/>
              <w:textAlignment w:val="center"/>
              <w:rPr>
                <w:rFonts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《电站阀门一般要求》</w:t>
            </w:r>
          </w:p>
        </w:tc>
        <w:tc>
          <w:tcPr>
            <w:tcW w:w="3334" w:type="dxa"/>
            <w:tcBorders>
              <w:top w:val="single" w:color="auto" w:sz="4" w:space="0"/>
              <w:left w:val="single" w:color="auto" w:sz="4" w:space="0"/>
              <w:bottom w:val="single" w:color="auto" w:sz="4" w:space="0"/>
              <w:right w:val="single" w:color="auto" w:sz="4" w:space="0"/>
            </w:tcBorders>
            <w:vAlign w:val="center"/>
          </w:tcPr>
          <w:p w14:paraId="1CE6E4A9">
            <w:pPr>
              <w:widowControl/>
              <w:spacing w:line="480" w:lineRule="exact"/>
              <w:jc w:val="left"/>
              <w:textAlignment w:val="center"/>
              <w:rPr>
                <w:rFonts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 xml:space="preserve"> JB/T 3595-2002</w:t>
            </w:r>
          </w:p>
        </w:tc>
      </w:tr>
      <w:tr w14:paraId="10CF15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7" w:hRule="atLeast"/>
          <w:jc w:val="center"/>
        </w:trPr>
        <w:tc>
          <w:tcPr>
            <w:tcW w:w="5558" w:type="dxa"/>
            <w:tcBorders>
              <w:top w:val="single" w:color="auto" w:sz="4" w:space="0"/>
              <w:left w:val="single" w:color="auto" w:sz="4" w:space="0"/>
              <w:bottom w:val="single" w:color="auto" w:sz="4" w:space="0"/>
              <w:right w:val="single" w:color="auto" w:sz="4" w:space="0"/>
            </w:tcBorders>
            <w:vAlign w:val="center"/>
          </w:tcPr>
          <w:p w14:paraId="465E58E4">
            <w:pPr>
              <w:widowControl/>
              <w:spacing w:line="480" w:lineRule="exact"/>
              <w:jc w:val="left"/>
              <w:textAlignment w:val="center"/>
              <w:rPr>
                <w:rFonts w:ascii="宋体" w:hAnsi="宋体" w:eastAsia="宋体" w:cs="宋体"/>
                <w:color w:val="auto"/>
                <w:kern w:val="0"/>
                <w:sz w:val="24"/>
                <w:szCs w:val="24"/>
                <w:lang w:bidi="ar"/>
              </w:rPr>
            </w:pPr>
            <w:r>
              <w:rPr>
                <w:rFonts w:hint="eastAsia" w:ascii="宋体" w:hAnsi="宋体" w:eastAsia="宋体" w:cs="宋体"/>
                <w:color w:val="auto"/>
                <w:kern w:val="0"/>
                <w:sz w:val="24"/>
                <w:szCs w:val="24"/>
                <w:lang w:eastAsia="zh-CN" w:bidi="ar"/>
              </w:rPr>
              <w:t>《</w:t>
            </w:r>
            <w:r>
              <w:rPr>
                <w:rFonts w:hint="eastAsia" w:ascii="宋体" w:hAnsi="宋体" w:eastAsia="宋体" w:cs="宋体"/>
                <w:color w:val="auto"/>
                <w:kern w:val="0"/>
                <w:sz w:val="24"/>
                <w:szCs w:val="24"/>
                <w:lang w:bidi="ar"/>
              </w:rPr>
              <w:t>承压设备无损检测》</w:t>
            </w:r>
          </w:p>
        </w:tc>
        <w:tc>
          <w:tcPr>
            <w:tcW w:w="3334" w:type="dxa"/>
            <w:tcBorders>
              <w:top w:val="single" w:color="auto" w:sz="4" w:space="0"/>
              <w:left w:val="single" w:color="auto" w:sz="4" w:space="0"/>
              <w:bottom w:val="single" w:color="auto" w:sz="4" w:space="0"/>
              <w:right w:val="single" w:color="auto" w:sz="4" w:space="0"/>
            </w:tcBorders>
            <w:vAlign w:val="center"/>
          </w:tcPr>
          <w:p w14:paraId="781F5F08">
            <w:pPr>
              <w:widowControl/>
              <w:spacing w:line="480" w:lineRule="exact"/>
              <w:jc w:val="left"/>
              <w:textAlignment w:val="center"/>
              <w:rPr>
                <w:rFonts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JB/T 4730</w:t>
            </w:r>
          </w:p>
        </w:tc>
      </w:tr>
      <w:tr w14:paraId="71A98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7" w:hRule="atLeast"/>
          <w:jc w:val="center"/>
        </w:trPr>
        <w:tc>
          <w:tcPr>
            <w:tcW w:w="5558" w:type="dxa"/>
            <w:tcBorders>
              <w:top w:val="single" w:color="auto" w:sz="4" w:space="0"/>
              <w:left w:val="single" w:color="auto" w:sz="4" w:space="0"/>
              <w:bottom w:val="single" w:color="auto" w:sz="4" w:space="0"/>
              <w:right w:val="single" w:color="auto" w:sz="4" w:space="0"/>
            </w:tcBorders>
            <w:vAlign w:val="center"/>
          </w:tcPr>
          <w:p w14:paraId="281F5489">
            <w:pPr>
              <w:widowControl/>
              <w:spacing w:line="480" w:lineRule="exact"/>
              <w:jc w:val="left"/>
              <w:textAlignment w:val="center"/>
              <w:rPr>
                <w:rFonts w:hint="eastAsia" w:ascii="宋体" w:hAnsi="宋体" w:eastAsia="宋体" w:cs="宋体"/>
                <w:color w:val="auto"/>
                <w:kern w:val="0"/>
                <w:sz w:val="24"/>
                <w:szCs w:val="24"/>
                <w:lang w:eastAsia="zh-CN" w:bidi="ar"/>
              </w:rPr>
            </w:pPr>
            <w:r>
              <w:rPr>
                <w:rFonts w:hint="eastAsia" w:ascii="宋体" w:hAnsi="宋体" w:eastAsia="宋体" w:cs="宋体"/>
                <w:color w:val="auto"/>
                <w:kern w:val="0"/>
                <w:sz w:val="24"/>
                <w:szCs w:val="24"/>
                <w:lang w:eastAsia="zh-CN" w:bidi="ar"/>
              </w:rPr>
              <w:t>《</w:t>
            </w:r>
            <w:r>
              <w:rPr>
                <w:rFonts w:hint="eastAsia" w:ascii="宋体" w:hAnsi="宋体" w:eastAsia="宋体" w:cs="宋体"/>
                <w:color w:val="auto"/>
                <w:kern w:val="0"/>
                <w:sz w:val="24"/>
                <w:szCs w:val="24"/>
                <w:lang w:bidi="ar"/>
              </w:rPr>
              <w:t>安全阀一般要求</w:t>
            </w:r>
            <w:r>
              <w:rPr>
                <w:rFonts w:hint="eastAsia" w:ascii="宋体" w:hAnsi="宋体" w:eastAsia="宋体" w:cs="宋体"/>
                <w:color w:val="auto"/>
                <w:kern w:val="0"/>
                <w:sz w:val="24"/>
                <w:szCs w:val="24"/>
                <w:lang w:eastAsia="zh-CN" w:bidi="ar"/>
              </w:rPr>
              <w:t>》</w:t>
            </w:r>
          </w:p>
        </w:tc>
        <w:tc>
          <w:tcPr>
            <w:tcW w:w="3334" w:type="dxa"/>
            <w:tcBorders>
              <w:top w:val="single" w:color="auto" w:sz="4" w:space="0"/>
              <w:left w:val="single" w:color="auto" w:sz="4" w:space="0"/>
              <w:bottom w:val="single" w:color="auto" w:sz="4" w:space="0"/>
              <w:right w:val="single" w:color="auto" w:sz="4" w:space="0"/>
            </w:tcBorders>
            <w:vAlign w:val="center"/>
          </w:tcPr>
          <w:p w14:paraId="5838C5F4">
            <w:pPr>
              <w:widowControl/>
              <w:spacing w:line="480" w:lineRule="exact"/>
              <w:jc w:val="left"/>
              <w:textAlignment w:val="center"/>
              <w:rPr>
                <w:rFonts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GB/T 12241-2005</w:t>
            </w:r>
          </w:p>
        </w:tc>
      </w:tr>
      <w:tr w14:paraId="46C90A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7" w:hRule="atLeast"/>
          <w:jc w:val="center"/>
        </w:trPr>
        <w:tc>
          <w:tcPr>
            <w:tcW w:w="5558" w:type="dxa"/>
            <w:tcBorders>
              <w:top w:val="single" w:color="auto" w:sz="4" w:space="0"/>
              <w:left w:val="single" w:color="auto" w:sz="4" w:space="0"/>
              <w:bottom w:val="single" w:color="auto" w:sz="4" w:space="0"/>
              <w:right w:val="single" w:color="auto" w:sz="4" w:space="0"/>
            </w:tcBorders>
            <w:vAlign w:val="center"/>
          </w:tcPr>
          <w:p w14:paraId="251520C0">
            <w:pPr>
              <w:widowControl/>
              <w:spacing w:line="480" w:lineRule="exact"/>
              <w:jc w:val="left"/>
              <w:textAlignment w:val="center"/>
              <w:rPr>
                <w:rFonts w:ascii="宋体" w:hAnsi="宋体" w:eastAsia="宋体" w:cs="宋体"/>
                <w:color w:val="auto"/>
                <w:kern w:val="0"/>
                <w:sz w:val="24"/>
                <w:szCs w:val="24"/>
                <w:lang w:bidi="ar"/>
              </w:rPr>
            </w:pPr>
            <w:r>
              <w:rPr>
                <w:rFonts w:hint="eastAsia" w:ascii="宋体" w:hAnsi="宋体" w:eastAsia="宋体" w:cs="宋体"/>
                <w:color w:val="auto"/>
                <w:kern w:val="0"/>
                <w:sz w:val="24"/>
                <w:szCs w:val="24"/>
                <w:lang w:eastAsia="zh-CN" w:bidi="ar"/>
              </w:rPr>
              <w:t>《工业企业厂界环境噪声排放标准》</w:t>
            </w:r>
          </w:p>
        </w:tc>
        <w:tc>
          <w:tcPr>
            <w:tcW w:w="3334" w:type="dxa"/>
            <w:tcBorders>
              <w:top w:val="single" w:color="auto" w:sz="4" w:space="0"/>
              <w:left w:val="single" w:color="auto" w:sz="4" w:space="0"/>
              <w:bottom w:val="single" w:color="auto" w:sz="4" w:space="0"/>
              <w:right w:val="single" w:color="auto" w:sz="4" w:space="0"/>
            </w:tcBorders>
            <w:vAlign w:val="center"/>
          </w:tcPr>
          <w:p w14:paraId="439538ED">
            <w:pPr>
              <w:widowControl/>
              <w:spacing w:line="480" w:lineRule="exact"/>
              <w:jc w:val="left"/>
              <w:textAlignment w:val="center"/>
              <w:rPr>
                <w:rFonts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GB 12348-2008</w:t>
            </w:r>
          </w:p>
        </w:tc>
      </w:tr>
      <w:tr w14:paraId="0B1064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7" w:hRule="atLeast"/>
          <w:jc w:val="center"/>
        </w:trPr>
        <w:tc>
          <w:tcPr>
            <w:tcW w:w="5558" w:type="dxa"/>
            <w:tcBorders>
              <w:top w:val="single" w:color="auto" w:sz="4" w:space="0"/>
              <w:left w:val="single" w:color="auto" w:sz="4" w:space="0"/>
              <w:bottom w:val="single" w:color="auto" w:sz="4" w:space="0"/>
              <w:right w:val="single" w:color="auto" w:sz="4" w:space="0"/>
            </w:tcBorders>
            <w:vAlign w:val="center"/>
          </w:tcPr>
          <w:p w14:paraId="7CB7937E">
            <w:pPr>
              <w:widowControl/>
              <w:spacing w:line="480" w:lineRule="exact"/>
              <w:jc w:val="left"/>
              <w:textAlignment w:val="center"/>
              <w:rPr>
                <w:rFonts w:hint="eastAsia" w:ascii="宋体" w:hAnsi="宋体" w:eastAsia="宋体" w:cs="宋体"/>
                <w:color w:val="auto"/>
                <w:kern w:val="0"/>
                <w:sz w:val="24"/>
                <w:szCs w:val="24"/>
                <w:lang w:eastAsia="zh-CN" w:bidi="ar"/>
              </w:rPr>
            </w:pPr>
            <w:r>
              <w:rPr>
                <w:rFonts w:hint="eastAsia" w:ascii="宋体" w:hAnsi="宋体" w:eastAsia="宋体" w:cs="宋体"/>
                <w:color w:val="auto"/>
                <w:kern w:val="0"/>
                <w:sz w:val="24"/>
                <w:szCs w:val="24"/>
                <w:lang w:eastAsia="zh-CN" w:bidi="ar"/>
              </w:rPr>
              <w:t>《承压设备焊接工艺评定》</w:t>
            </w:r>
          </w:p>
        </w:tc>
        <w:tc>
          <w:tcPr>
            <w:tcW w:w="3334" w:type="dxa"/>
            <w:tcBorders>
              <w:top w:val="single" w:color="auto" w:sz="4" w:space="0"/>
              <w:left w:val="single" w:color="auto" w:sz="4" w:space="0"/>
              <w:bottom w:val="single" w:color="auto" w:sz="4" w:space="0"/>
              <w:right w:val="single" w:color="auto" w:sz="4" w:space="0"/>
            </w:tcBorders>
            <w:vAlign w:val="center"/>
          </w:tcPr>
          <w:p w14:paraId="58B364B1">
            <w:pPr>
              <w:widowControl/>
              <w:spacing w:line="480" w:lineRule="exact"/>
              <w:jc w:val="left"/>
              <w:textAlignment w:val="center"/>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NB/T 47014-2011</w:t>
            </w:r>
          </w:p>
        </w:tc>
      </w:tr>
    </w:tbl>
    <w:p w14:paraId="4E30CF17">
      <w:pPr>
        <w:spacing w:line="360" w:lineRule="auto"/>
        <w:ind w:firstLine="480" w:firstLineChars="200"/>
        <w:rPr>
          <w:sz w:val="24"/>
        </w:rPr>
      </w:pPr>
      <w:r>
        <w:rPr>
          <w:rFonts w:hint="eastAsia"/>
          <w:sz w:val="24"/>
        </w:rPr>
        <w:t>3</w:t>
      </w:r>
      <w:r>
        <w:rPr>
          <w:sz w:val="24"/>
        </w:rPr>
        <w:t>.</w:t>
      </w:r>
      <w:r>
        <w:rPr>
          <w:rFonts w:hint="eastAsia"/>
          <w:sz w:val="24"/>
          <w:lang w:val="en-US" w:eastAsia="zh-CN"/>
        </w:rPr>
        <w:t>2</w:t>
      </w:r>
      <w:r>
        <w:rPr>
          <w:rFonts w:hint="eastAsia"/>
          <w:sz w:val="24"/>
        </w:rPr>
        <w:t xml:space="preserve"> </w:t>
      </w:r>
      <w:r>
        <w:rPr>
          <w:rFonts w:hint="eastAsia"/>
          <w:sz w:val="24"/>
          <w:lang w:val="en-US" w:eastAsia="zh-CN"/>
        </w:rPr>
        <w:t>供货方</w:t>
      </w:r>
      <w:r>
        <w:rPr>
          <w:rFonts w:hAnsi="宋体"/>
          <w:sz w:val="24"/>
        </w:rPr>
        <w:t>负责</w:t>
      </w:r>
      <w:r>
        <w:rPr>
          <w:rFonts w:hint="eastAsia" w:hAnsi="宋体"/>
          <w:sz w:val="24"/>
          <w:lang w:val="en-US" w:eastAsia="zh-CN"/>
        </w:rPr>
        <w:t>减温减压器机减温水泵等配套设备的的</w:t>
      </w:r>
      <w:r>
        <w:rPr>
          <w:rFonts w:hint="eastAsia" w:hAnsi="宋体"/>
          <w:sz w:val="24"/>
        </w:rPr>
        <w:t>选型、</w:t>
      </w:r>
      <w:r>
        <w:rPr>
          <w:rFonts w:hAnsi="宋体"/>
          <w:sz w:val="24"/>
        </w:rPr>
        <w:t>选材</w:t>
      </w:r>
      <w:r>
        <w:rPr>
          <w:rFonts w:hint="eastAsia" w:hAnsi="宋体"/>
          <w:sz w:val="24"/>
        </w:rPr>
        <w:t>，并提供</w:t>
      </w:r>
      <w:r>
        <w:rPr>
          <w:rFonts w:hint="eastAsia" w:hAnsi="宋体"/>
          <w:sz w:val="24"/>
          <w:lang w:val="en-US" w:eastAsia="zh-CN"/>
        </w:rPr>
        <w:t>设备总装图</w:t>
      </w:r>
      <w:r>
        <w:rPr>
          <w:rFonts w:hint="eastAsia" w:hAnsi="宋体"/>
          <w:sz w:val="24"/>
        </w:rPr>
        <w:t>图</w:t>
      </w:r>
      <w:r>
        <w:rPr>
          <w:rFonts w:hAnsi="宋体"/>
          <w:sz w:val="24"/>
        </w:rPr>
        <w:t>。</w:t>
      </w:r>
    </w:p>
    <w:p w14:paraId="296A7270">
      <w:pPr>
        <w:adjustRightInd w:val="0"/>
        <w:snapToGrid w:val="0"/>
        <w:spacing w:line="480" w:lineRule="atLeast"/>
        <w:ind w:firstLine="480" w:firstLineChars="200"/>
        <w:outlineLvl w:val="6"/>
        <w:rPr>
          <w:rFonts w:hAnsi="宋体"/>
          <w:sz w:val="24"/>
        </w:rPr>
      </w:pPr>
      <w:r>
        <w:rPr>
          <w:rFonts w:hint="eastAsia"/>
          <w:sz w:val="24"/>
        </w:rPr>
        <w:t>3</w:t>
      </w:r>
      <w:r>
        <w:rPr>
          <w:sz w:val="24"/>
        </w:rPr>
        <w:t>.</w:t>
      </w:r>
      <w:r>
        <w:rPr>
          <w:rFonts w:hint="eastAsia"/>
          <w:sz w:val="24"/>
          <w:lang w:val="en-US" w:eastAsia="zh-CN"/>
        </w:rPr>
        <w:t>2</w:t>
      </w:r>
      <w:r>
        <w:rPr>
          <w:sz w:val="24"/>
        </w:rPr>
        <w:t xml:space="preserve"> </w:t>
      </w:r>
      <w:r>
        <w:rPr>
          <w:rFonts w:hint="eastAsia" w:hAnsi="宋体"/>
          <w:sz w:val="24"/>
          <w:lang w:val="en-US" w:eastAsia="zh-CN"/>
        </w:rPr>
        <w:t>采购方</w:t>
      </w:r>
      <w:r>
        <w:rPr>
          <w:rFonts w:hint="eastAsia" w:hAnsi="宋体"/>
          <w:sz w:val="24"/>
        </w:rPr>
        <w:t>方对</w:t>
      </w:r>
      <w:r>
        <w:rPr>
          <w:rFonts w:hint="eastAsia" w:hAnsi="宋体"/>
          <w:sz w:val="24"/>
          <w:lang w:val="en-US" w:eastAsia="zh-CN"/>
        </w:rPr>
        <w:t>设备</w:t>
      </w:r>
      <w:r>
        <w:rPr>
          <w:rFonts w:hAnsi="宋体"/>
          <w:sz w:val="24"/>
        </w:rPr>
        <w:t>总</w:t>
      </w:r>
      <w:r>
        <w:rPr>
          <w:rFonts w:hint="eastAsia" w:hAnsi="宋体"/>
          <w:sz w:val="24"/>
        </w:rPr>
        <w:t>装</w:t>
      </w:r>
      <w:r>
        <w:rPr>
          <w:rFonts w:hAnsi="宋体"/>
          <w:sz w:val="24"/>
        </w:rPr>
        <w:t>图进行确认，</w:t>
      </w:r>
      <w:r>
        <w:rPr>
          <w:rFonts w:hint="eastAsia" w:hAnsi="宋体"/>
          <w:sz w:val="24"/>
          <w:lang w:val="en-US" w:eastAsia="zh-CN"/>
        </w:rPr>
        <w:t>采购方</w:t>
      </w:r>
      <w:r>
        <w:rPr>
          <w:rFonts w:hAnsi="宋体"/>
          <w:sz w:val="24"/>
        </w:rPr>
        <w:t>的确认丝毫不免除</w:t>
      </w:r>
      <w:r>
        <w:rPr>
          <w:rFonts w:hint="eastAsia" w:hAnsi="宋体"/>
          <w:sz w:val="24"/>
        </w:rPr>
        <w:t>投标方</w:t>
      </w:r>
      <w:r>
        <w:rPr>
          <w:rFonts w:hAnsi="宋体"/>
          <w:sz w:val="24"/>
        </w:rPr>
        <w:t>应负的责任。</w:t>
      </w:r>
    </w:p>
    <w:p w14:paraId="2A44B57B">
      <w:pPr>
        <w:adjustRightInd w:val="0"/>
        <w:snapToGrid w:val="0"/>
        <w:spacing w:line="480" w:lineRule="atLeast"/>
        <w:ind w:firstLine="480" w:firstLineChars="200"/>
        <w:outlineLvl w:val="6"/>
        <w:rPr>
          <w:rFonts w:hint="eastAsia" w:hAnsi="宋体"/>
          <w:sz w:val="24"/>
          <w:lang w:val="en-US" w:eastAsia="zh-CN"/>
        </w:rPr>
      </w:pPr>
      <w:r>
        <w:rPr>
          <w:rFonts w:hint="eastAsia" w:hAnsi="宋体"/>
          <w:sz w:val="24"/>
          <w:lang w:val="en-US" w:eastAsia="zh-CN"/>
        </w:rPr>
        <w:t>3.4结构设计</w:t>
      </w:r>
    </w:p>
    <w:p w14:paraId="09E81449">
      <w:pPr>
        <w:adjustRightInd w:val="0"/>
        <w:snapToGrid w:val="0"/>
        <w:spacing w:line="480" w:lineRule="atLeast"/>
        <w:ind w:firstLine="480" w:firstLineChars="200"/>
        <w:outlineLvl w:val="6"/>
        <w:rPr>
          <w:rFonts w:hint="eastAsia" w:hAnsi="宋体"/>
          <w:sz w:val="24"/>
          <w:lang w:val="en-US" w:eastAsia="zh-CN"/>
        </w:rPr>
      </w:pPr>
      <w:r>
        <w:rPr>
          <w:rFonts w:hint="eastAsia" w:hAnsi="宋体"/>
          <w:sz w:val="24"/>
          <w:lang w:val="en-US" w:eastAsia="zh-CN"/>
        </w:rPr>
        <w:t>结构形式：一体</w:t>
      </w:r>
      <w:bookmarkStart w:id="9" w:name="_GoBack"/>
      <w:bookmarkEnd w:id="9"/>
      <w:r>
        <w:rPr>
          <w:rFonts w:hint="eastAsia" w:hAnsi="宋体"/>
          <w:sz w:val="24"/>
          <w:lang w:val="en-US" w:eastAsia="zh-CN"/>
        </w:rPr>
        <w:t xml:space="preserve">式结构 </w:t>
      </w:r>
    </w:p>
    <w:p w14:paraId="6ACDF959">
      <w:pPr>
        <w:adjustRightInd w:val="0"/>
        <w:snapToGrid w:val="0"/>
        <w:spacing w:line="480" w:lineRule="atLeast"/>
        <w:ind w:firstLine="482" w:firstLineChars="200"/>
        <w:outlineLvl w:val="6"/>
        <w:rPr>
          <w:rFonts w:hint="eastAsia" w:asciiTheme="minorEastAsia" w:hAnsiTheme="minorEastAsia" w:cstheme="minorEastAsia"/>
          <w:b/>
          <w:sz w:val="24"/>
          <w:lang w:val="en-US" w:eastAsia="zh-CN"/>
        </w:rPr>
      </w:pPr>
      <w:bookmarkStart w:id="3" w:name="_Toc8183"/>
      <w:bookmarkStart w:id="4" w:name="_Toc516748338"/>
      <w:r>
        <w:rPr>
          <w:rFonts w:hint="eastAsia" w:asciiTheme="minorEastAsia" w:hAnsiTheme="minorEastAsia" w:cstheme="minorEastAsia"/>
          <w:b/>
          <w:sz w:val="24"/>
          <w:lang w:val="en-US" w:eastAsia="zh-CN"/>
        </w:rPr>
        <w:t>4供货范围与</w:t>
      </w:r>
      <w:bookmarkEnd w:id="3"/>
      <w:bookmarkEnd w:id="4"/>
      <w:r>
        <w:rPr>
          <w:rFonts w:hint="eastAsia" w:asciiTheme="minorEastAsia" w:hAnsiTheme="minorEastAsia" w:cstheme="minorEastAsia"/>
          <w:b/>
          <w:sz w:val="24"/>
          <w:lang w:val="en-US" w:eastAsia="zh-CN"/>
        </w:rPr>
        <w:t>接口范围</w:t>
      </w:r>
    </w:p>
    <w:p w14:paraId="0AD0EC52">
      <w:pPr>
        <w:adjustRightInd w:val="0"/>
        <w:snapToGrid w:val="0"/>
        <w:spacing w:line="480" w:lineRule="atLeast"/>
        <w:ind w:firstLine="480" w:firstLineChars="200"/>
        <w:outlineLvl w:val="6"/>
        <w:rPr>
          <w:rFonts w:hint="default" w:hAnsi="宋体"/>
          <w:sz w:val="24"/>
          <w:lang w:val="en-US" w:eastAsia="zh-CN"/>
        </w:rPr>
      </w:pPr>
      <w:r>
        <w:rPr>
          <w:rFonts w:hint="default" w:hAnsi="宋体"/>
          <w:sz w:val="24"/>
          <w:lang w:val="en-US" w:eastAsia="zh-CN"/>
        </w:rPr>
        <w:t>.供货范围应完整满足安装、调试、运行要求，包括但不限于：</w:t>
      </w:r>
    </w:p>
    <w:p w14:paraId="282480C3">
      <w:pPr>
        <w:adjustRightInd w:val="0"/>
        <w:snapToGrid w:val="0"/>
        <w:spacing w:line="480" w:lineRule="atLeast"/>
        <w:ind w:firstLine="480" w:firstLineChars="200"/>
        <w:outlineLvl w:val="6"/>
        <w:rPr>
          <w:rFonts w:hint="default" w:hAnsi="宋体"/>
          <w:sz w:val="24"/>
          <w:lang w:val="en-US" w:eastAsia="zh-CN"/>
        </w:rPr>
      </w:pPr>
      <w:r>
        <w:rPr>
          <w:rFonts w:hint="eastAsia" w:hAnsi="宋体"/>
          <w:sz w:val="24"/>
          <w:lang w:val="en-US" w:eastAsia="zh-CN"/>
        </w:rPr>
        <w:t>4.1</w:t>
      </w:r>
      <w:r>
        <w:rPr>
          <w:rFonts w:hint="default" w:hAnsi="宋体"/>
          <w:sz w:val="24"/>
          <w:lang w:val="en-US" w:eastAsia="zh-CN"/>
        </w:rPr>
        <w:t>1 本体及主要部件</w:t>
      </w:r>
    </w:p>
    <w:p w14:paraId="32D7A54E">
      <w:pPr>
        <w:adjustRightInd w:val="0"/>
        <w:snapToGrid w:val="0"/>
        <w:spacing w:line="480" w:lineRule="atLeast"/>
        <w:ind w:firstLine="480" w:firstLineChars="200"/>
        <w:outlineLvl w:val="6"/>
        <w:rPr>
          <w:rFonts w:hint="default" w:hAnsi="宋体"/>
          <w:sz w:val="24"/>
          <w:lang w:val="en-US" w:eastAsia="zh-CN"/>
        </w:rPr>
      </w:pPr>
      <w:r>
        <w:rPr>
          <w:rFonts w:hint="default" w:hAnsi="宋体"/>
          <w:sz w:val="24"/>
          <w:lang w:val="en-US" w:eastAsia="zh-CN"/>
        </w:rPr>
        <w:t>减温减压器本体及支架（固定、滑动）</w:t>
      </w:r>
      <w:r>
        <w:rPr>
          <w:rFonts w:hint="eastAsia" w:hAnsi="宋体"/>
          <w:sz w:val="24"/>
          <w:lang w:val="en-US" w:eastAsia="zh-CN"/>
        </w:rPr>
        <w:t>，</w:t>
      </w:r>
      <w:r>
        <w:rPr>
          <w:rFonts w:hint="default" w:hAnsi="宋体"/>
          <w:sz w:val="24"/>
          <w:lang w:val="en-US" w:eastAsia="zh-CN"/>
        </w:rPr>
        <w:t>蒸汽管道（从进口法兰至出口法兰）</w:t>
      </w:r>
    </w:p>
    <w:p w14:paraId="396256FE">
      <w:pPr>
        <w:adjustRightInd w:val="0"/>
        <w:snapToGrid w:val="0"/>
        <w:spacing w:line="480" w:lineRule="atLeast"/>
        <w:ind w:firstLine="480" w:firstLineChars="200"/>
        <w:outlineLvl w:val="6"/>
        <w:rPr>
          <w:rFonts w:hint="default" w:hAnsi="宋体"/>
          <w:sz w:val="24"/>
          <w:lang w:val="en-US" w:eastAsia="zh-CN"/>
        </w:rPr>
      </w:pPr>
      <w:r>
        <w:rPr>
          <w:rFonts w:hint="default" w:hAnsi="宋体"/>
          <w:sz w:val="24"/>
          <w:lang w:val="en-US" w:eastAsia="zh-CN"/>
        </w:rPr>
        <w:t>3.2 阀门及执行机构</w:t>
      </w:r>
    </w:p>
    <w:p w14:paraId="4B58DC2C">
      <w:pPr>
        <w:adjustRightInd w:val="0"/>
        <w:snapToGrid w:val="0"/>
        <w:spacing w:line="480" w:lineRule="atLeast"/>
        <w:ind w:firstLine="480" w:firstLineChars="200"/>
        <w:outlineLvl w:val="6"/>
        <w:rPr>
          <w:rFonts w:hint="default" w:hAnsi="宋体"/>
          <w:sz w:val="24"/>
          <w:lang w:val="en-US" w:eastAsia="zh-CN"/>
        </w:rPr>
      </w:pPr>
      <w:r>
        <w:rPr>
          <w:rFonts w:hint="default" w:hAnsi="宋体"/>
          <w:sz w:val="24"/>
          <w:lang w:val="en-US" w:eastAsia="zh-CN"/>
        </w:rPr>
        <w:t>电动减压阀及电动执行机构</w:t>
      </w:r>
      <w:r>
        <w:rPr>
          <w:rFonts w:hint="eastAsia" w:hAnsi="宋体"/>
          <w:sz w:val="24"/>
          <w:lang w:val="en-US" w:eastAsia="zh-CN"/>
        </w:rPr>
        <w:t>，</w:t>
      </w:r>
      <w:r>
        <w:rPr>
          <w:rFonts w:hint="default" w:hAnsi="宋体"/>
          <w:sz w:val="24"/>
          <w:lang w:val="en-US" w:eastAsia="zh-CN"/>
        </w:rPr>
        <w:t>弹簧可调喷嘴</w:t>
      </w:r>
      <w:r>
        <w:rPr>
          <w:rFonts w:hint="eastAsia" w:hAnsi="宋体"/>
          <w:sz w:val="24"/>
          <w:lang w:val="en-US" w:eastAsia="zh-CN"/>
        </w:rPr>
        <w:t>，</w:t>
      </w:r>
      <w:r>
        <w:rPr>
          <w:rFonts w:hint="default" w:hAnsi="宋体"/>
          <w:sz w:val="24"/>
          <w:lang w:val="en-US" w:eastAsia="zh-CN"/>
        </w:rPr>
        <w:t>减温水调节阀及执行机构（电动）</w:t>
      </w:r>
      <w:r>
        <w:rPr>
          <w:rFonts w:hint="eastAsia" w:hAnsi="宋体"/>
          <w:sz w:val="24"/>
          <w:lang w:val="en-US" w:eastAsia="zh-CN"/>
        </w:rPr>
        <w:t>，</w:t>
      </w:r>
    </w:p>
    <w:p w14:paraId="192590B1">
      <w:pPr>
        <w:adjustRightInd w:val="0"/>
        <w:snapToGrid w:val="0"/>
        <w:spacing w:line="480" w:lineRule="atLeast"/>
        <w:outlineLvl w:val="6"/>
        <w:rPr>
          <w:rFonts w:hint="eastAsia" w:hAnsi="宋体"/>
          <w:sz w:val="24"/>
          <w:lang w:val="en-US" w:eastAsia="zh-CN"/>
        </w:rPr>
      </w:pPr>
      <w:r>
        <w:rPr>
          <w:rFonts w:hint="default" w:hAnsi="宋体"/>
          <w:sz w:val="24"/>
          <w:lang w:val="en-US" w:eastAsia="zh-CN"/>
        </w:rPr>
        <w:t>安全阀</w:t>
      </w:r>
      <w:r>
        <w:rPr>
          <w:rFonts w:hint="eastAsia" w:hAnsi="宋体"/>
          <w:sz w:val="24"/>
          <w:lang w:val="en-US" w:eastAsia="zh-CN"/>
        </w:rPr>
        <w:t>等。</w:t>
      </w:r>
    </w:p>
    <w:p w14:paraId="2234F5C8">
      <w:pPr>
        <w:adjustRightInd w:val="0"/>
        <w:snapToGrid w:val="0"/>
        <w:spacing w:line="480" w:lineRule="atLeast"/>
        <w:ind w:firstLine="480" w:firstLineChars="200"/>
        <w:outlineLvl w:val="6"/>
        <w:rPr>
          <w:rFonts w:hint="eastAsia" w:hAnsi="宋体"/>
          <w:sz w:val="24"/>
          <w:lang w:val="en-US" w:eastAsia="zh-CN"/>
        </w:rPr>
      </w:pPr>
      <w:r>
        <w:rPr>
          <w:rFonts w:hint="eastAsia" w:hAnsi="宋体"/>
          <w:sz w:val="24"/>
          <w:lang w:val="en-US" w:eastAsia="zh-CN"/>
        </w:rPr>
        <w:t>3.3减温水泵</w:t>
      </w:r>
    </w:p>
    <w:p w14:paraId="09BA4A7D">
      <w:pPr>
        <w:adjustRightInd w:val="0"/>
        <w:snapToGrid w:val="0"/>
        <w:spacing w:line="480" w:lineRule="atLeast"/>
        <w:ind w:firstLine="480" w:firstLineChars="200"/>
        <w:outlineLvl w:val="6"/>
        <w:rPr>
          <w:rFonts w:hint="default" w:hAnsi="宋体"/>
          <w:color w:val="C00000"/>
          <w:sz w:val="24"/>
          <w:lang w:val="en-US" w:eastAsia="zh-CN"/>
        </w:rPr>
      </w:pPr>
      <w:r>
        <w:rPr>
          <w:rFonts w:hint="default" w:hAnsi="宋体"/>
          <w:color w:val="C00000"/>
          <w:sz w:val="24"/>
          <w:lang w:val="en-US" w:eastAsia="zh-CN"/>
        </w:rPr>
        <w:t>3.</w:t>
      </w:r>
      <w:r>
        <w:rPr>
          <w:rFonts w:hint="eastAsia" w:hAnsi="宋体"/>
          <w:color w:val="C00000"/>
          <w:sz w:val="24"/>
          <w:lang w:val="en-US" w:eastAsia="zh-CN"/>
        </w:rPr>
        <w:t>4</w:t>
      </w:r>
      <w:r>
        <w:rPr>
          <w:rFonts w:hint="default" w:hAnsi="宋体"/>
          <w:color w:val="C00000"/>
          <w:sz w:val="24"/>
          <w:lang w:val="en-US" w:eastAsia="zh-CN"/>
        </w:rPr>
        <w:t xml:space="preserve"> </w:t>
      </w:r>
      <w:r>
        <w:rPr>
          <w:rFonts w:hint="eastAsia" w:hAnsi="宋体"/>
          <w:color w:val="C00000"/>
          <w:sz w:val="24"/>
          <w:lang w:val="en-US" w:eastAsia="zh-CN"/>
        </w:rPr>
        <w:t>PLC控制柜</w:t>
      </w:r>
      <w:r>
        <w:rPr>
          <w:rFonts w:hint="default" w:hAnsi="宋体"/>
          <w:color w:val="C00000"/>
          <w:sz w:val="24"/>
          <w:lang w:val="en-US" w:eastAsia="zh-CN"/>
        </w:rPr>
        <w:t>仪表及附件</w:t>
      </w:r>
    </w:p>
    <w:p w14:paraId="10DC0CEF">
      <w:pPr>
        <w:adjustRightInd w:val="0"/>
        <w:snapToGrid w:val="0"/>
        <w:spacing w:line="480" w:lineRule="atLeast"/>
        <w:ind w:firstLine="480" w:firstLineChars="200"/>
        <w:outlineLvl w:val="6"/>
        <w:rPr>
          <w:rFonts w:hint="default" w:hAnsi="宋体"/>
          <w:color w:val="C00000"/>
          <w:sz w:val="24"/>
          <w:lang w:val="en-US" w:eastAsia="zh-CN"/>
        </w:rPr>
      </w:pPr>
      <w:r>
        <w:rPr>
          <w:rFonts w:hint="eastAsia" w:hAnsi="宋体"/>
          <w:color w:val="C00000"/>
          <w:sz w:val="24"/>
          <w:lang w:val="en-US" w:eastAsia="zh-CN"/>
        </w:rPr>
        <w:t>满足设备运行的</w:t>
      </w:r>
      <w:r>
        <w:rPr>
          <w:rFonts w:hint="default" w:hAnsi="宋体"/>
          <w:color w:val="C00000"/>
          <w:sz w:val="24"/>
          <w:lang w:val="en-US" w:eastAsia="zh-CN"/>
        </w:rPr>
        <w:t>温度计、压力表</w:t>
      </w:r>
      <w:r>
        <w:rPr>
          <w:rFonts w:hint="eastAsia" w:hAnsi="宋体"/>
          <w:color w:val="C00000"/>
          <w:sz w:val="24"/>
          <w:lang w:val="en-US" w:eastAsia="zh-CN"/>
        </w:rPr>
        <w:t>及</w:t>
      </w:r>
      <w:r>
        <w:rPr>
          <w:rFonts w:hint="default" w:hAnsi="宋体"/>
          <w:color w:val="C00000"/>
          <w:sz w:val="24"/>
          <w:lang w:val="en-US" w:eastAsia="zh-CN"/>
        </w:rPr>
        <w:t>本体配备的各类表计及一次元件</w:t>
      </w:r>
      <w:r>
        <w:rPr>
          <w:rFonts w:hint="eastAsia" w:hAnsi="宋体"/>
          <w:color w:val="C00000"/>
          <w:sz w:val="24"/>
          <w:lang w:val="en-US" w:eastAsia="zh-CN"/>
        </w:rPr>
        <w:t>及控制系统</w:t>
      </w:r>
    </w:p>
    <w:p w14:paraId="06E67AF4">
      <w:pPr>
        <w:adjustRightInd w:val="0"/>
        <w:snapToGrid w:val="0"/>
        <w:spacing w:line="480" w:lineRule="atLeast"/>
        <w:ind w:firstLine="480" w:firstLineChars="200"/>
        <w:outlineLvl w:val="6"/>
        <w:rPr>
          <w:rFonts w:hint="default" w:hAnsi="宋体"/>
          <w:sz w:val="24"/>
          <w:lang w:val="en-US" w:eastAsia="zh-CN"/>
        </w:rPr>
      </w:pPr>
      <w:r>
        <w:rPr>
          <w:rFonts w:hint="default" w:hAnsi="宋体"/>
          <w:sz w:val="24"/>
          <w:lang w:val="en-US" w:eastAsia="zh-CN"/>
        </w:rPr>
        <w:t>3.</w:t>
      </w:r>
      <w:r>
        <w:rPr>
          <w:rFonts w:hint="eastAsia" w:hAnsi="宋体"/>
          <w:sz w:val="24"/>
          <w:lang w:val="en-US" w:eastAsia="zh-CN"/>
        </w:rPr>
        <w:t>5</w:t>
      </w:r>
      <w:r>
        <w:rPr>
          <w:rFonts w:hint="default" w:hAnsi="宋体"/>
          <w:sz w:val="24"/>
          <w:lang w:val="en-US" w:eastAsia="zh-CN"/>
        </w:rPr>
        <w:t xml:space="preserve"> 技术资料</w:t>
      </w:r>
    </w:p>
    <w:p w14:paraId="135D6D79">
      <w:pPr>
        <w:adjustRightInd w:val="0"/>
        <w:snapToGrid w:val="0"/>
        <w:spacing w:line="480" w:lineRule="atLeast"/>
        <w:ind w:firstLine="480" w:firstLineChars="200"/>
        <w:outlineLvl w:val="6"/>
        <w:rPr>
          <w:rFonts w:hint="default" w:hAnsi="宋体"/>
          <w:sz w:val="24"/>
          <w:lang w:val="en-US" w:eastAsia="zh-CN"/>
        </w:rPr>
      </w:pPr>
      <w:r>
        <w:rPr>
          <w:rFonts w:hint="default" w:hAnsi="宋体"/>
          <w:sz w:val="24"/>
          <w:lang w:val="en-US" w:eastAsia="zh-CN"/>
        </w:rPr>
        <w:t>外形图、接口尺寸图、总装图</w:t>
      </w:r>
    </w:p>
    <w:p w14:paraId="13C1C78B">
      <w:pPr>
        <w:adjustRightInd w:val="0"/>
        <w:snapToGrid w:val="0"/>
        <w:spacing w:line="480" w:lineRule="atLeast"/>
        <w:ind w:firstLine="480" w:firstLineChars="200"/>
        <w:outlineLvl w:val="6"/>
        <w:rPr>
          <w:rFonts w:hint="default" w:hAnsi="宋体"/>
          <w:sz w:val="24"/>
          <w:lang w:val="en-US" w:eastAsia="zh-CN"/>
        </w:rPr>
      </w:pPr>
      <w:r>
        <w:rPr>
          <w:rFonts w:hint="default" w:hAnsi="宋体"/>
          <w:sz w:val="24"/>
          <w:lang w:val="en-US" w:eastAsia="zh-CN"/>
        </w:rPr>
        <w:t>安装、运行、维护说明书</w:t>
      </w:r>
    </w:p>
    <w:p w14:paraId="71CB1198">
      <w:pPr>
        <w:adjustRightInd w:val="0"/>
        <w:snapToGrid w:val="0"/>
        <w:spacing w:line="480" w:lineRule="atLeast"/>
        <w:ind w:firstLine="480" w:firstLineChars="200"/>
        <w:outlineLvl w:val="6"/>
        <w:rPr>
          <w:rFonts w:hint="default" w:hAnsi="宋体"/>
          <w:sz w:val="24"/>
          <w:lang w:val="en-US" w:eastAsia="zh-CN"/>
        </w:rPr>
      </w:pPr>
      <w:r>
        <w:rPr>
          <w:rFonts w:hint="default" w:hAnsi="宋体"/>
          <w:sz w:val="24"/>
          <w:lang w:val="en-US" w:eastAsia="zh-CN"/>
        </w:rPr>
        <w:t>检验试验报告、质量证明文件</w:t>
      </w:r>
    </w:p>
    <w:p w14:paraId="53B621AD">
      <w:pPr>
        <w:adjustRightInd w:val="0"/>
        <w:snapToGrid w:val="0"/>
        <w:spacing w:line="480" w:lineRule="atLeast"/>
        <w:ind w:firstLine="480" w:firstLineChars="200"/>
        <w:outlineLvl w:val="6"/>
        <w:rPr>
          <w:rFonts w:hint="default" w:hAnsi="宋体"/>
          <w:sz w:val="24"/>
          <w:lang w:val="en-US" w:eastAsia="zh-CN"/>
        </w:rPr>
      </w:pPr>
      <w:r>
        <w:rPr>
          <w:rFonts w:hint="default" w:hAnsi="宋体"/>
          <w:sz w:val="24"/>
          <w:lang w:val="en-US" w:eastAsia="zh-CN"/>
        </w:rPr>
        <w:t>PID图、仪表设备清单</w:t>
      </w:r>
    </w:p>
    <w:p w14:paraId="127B7033">
      <w:pPr>
        <w:pStyle w:val="2"/>
        <w:spacing w:before="156" w:beforeLines="50" w:after="156" w:afterLines="50" w:line="360" w:lineRule="auto"/>
        <w:ind w:left="369" w:hanging="369"/>
        <w:rPr>
          <w:rFonts w:hint="eastAsia" w:ascii="Times New Roman" w:hAnsi="Times New Roman" w:eastAsia="宋体" w:cs="宋体"/>
          <w:b/>
          <w:color w:val="auto"/>
          <w:sz w:val="28"/>
          <w:szCs w:val="28"/>
        </w:rPr>
      </w:pPr>
    </w:p>
    <w:p w14:paraId="7E25A5FE">
      <w:pPr>
        <w:pStyle w:val="2"/>
        <w:spacing w:before="156" w:beforeLines="50" w:after="156" w:afterLines="50" w:line="360" w:lineRule="auto"/>
        <w:ind w:left="369" w:hanging="369"/>
        <w:rPr>
          <w:rFonts w:ascii="Times New Roman" w:hAnsi="Times New Roman" w:eastAsia="宋体" w:cs="宋体"/>
          <w:b/>
          <w:color w:val="auto"/>
          <w:sz w:val="28"/>
          <w:szCs w:val="28"/>
        </w:rPr>
      </w:pPr>
      <w:r>
        <w:rPr>
          <w:rFonts w:hint="eastAsia" w:ascii="Times New Roman" w:hAnsi="Times New Roman" w:eastAsia="宋体" w:cs="宋体"/>
          <w:b/>
          <w:color w:val="auto"/>
          <w:sz w:val="28"/>
          <w:szCs w:val="28"/>
        </w:rPr>
        <w:t>5.质量保证与性能考核</w:t>
      </w:r>
    </w:p>
    <w:p w14:paraId="055DFD95">
      <w:pPr>
        <w:spacing w:line="360" w:lineRule="auto"/>
        <w:rPr>
          <w:rFonts w:hint="eastAsia" w:hAnsi="宋体"/>
          <w:sz w:val="24"/>
        </w:rPr>
      </w:pPr>
      <w:r>
        <w:rPr>
          <w:rFonts w:hint="eastAsia" w:hAnsi="宋体"/>
          <w:sz w:val="24"/>
        </w:rPr>
        <w:t>5.1质量保证</w:t>
      </w:r>
    </w:p>
    <w:p w14:paraId="01D5FDCC">
      <w:pPr>
        <w:pStyle w:val="35"/>
        <w:numPr>
          <w:ilvl w:val="2"/>
          <w:numId w:val="0"/>
        </w:numPr>
        <w:spacing w:before="60" w:after="60" w:line="360" w:lineRule="auto"/>
        <w:ind w:left="720" w:hanging="720"/>
        <w:rPr>
          <w:rFonts w:hint="eastAsia" w:ascii="宋体" w:hAnsi="宋体"/>
          <w:sz w:val="24"/>
        </w:rPr>
      </w:pPr>
      <w:r>
        <w:rPr>
          <w:rFonts w:hint="eastAsia" w:ascii="宋体" w:hAnsi="宋体"/>
          <w:sz w:val="24"/>
        </w:rPr>
        <w:t>5</w:t>
      </w:r>
      <w:r>
        <w:rPr>
          <w:rFonts w:ascii="宋体" w:hAnsi="宋体"/>
          <w:sz w:val="24"/>
        </w:rPr>
        <w:t>.1.1</w:t>
      </w:r>
      <w:r>
        <w:rPr>
          <w:rFonts w:hint="eastAsia" w:ascii="宋体" w:hAnsi="宋体"/>
          <w:sz w:val="24"/>
        </w:rPr>
        <w:t>投标方应有完善的质量保证体系，这些体系应有符合ISO9001系列的要求。</w:t>
      </w:r>
    </w:p>
    <w:p w14:paraId="09762539">
      <w:pPr>
        <w:pStyle w:val="35"/>
        <w:numPr>
          <w:ilvl w:val="2"/>
          <w:numId w:val="0"/>
        </w:numPr>
        <w:spacing w:before="60" w:after="60" w:line="360" w:lineRule="auto"/>
        <w:ind w:left="720" w:hanging="720"/>
        <w:rPr>
          <w:rFonts w:hint="eastAsia" w:ascii="宋体" w:hAnsi="宋体"/>
          <w:sz w:val="24"/>
        </w:rPr>
      </w:pPr>
      <w:r>
        <w:rPr>
          <w:rFonts w:hint="eastAsia" w:ascii="宋体" w:hAnsi="宋体"/>
          <w:sz w:val="24"/>
        </w:rPr>
        <w:t>5</w:t>
      </w:r>
      <w:r>
        <w:rPr>
          <w:rFonts w:ascii="宋体" w:hAnsi="宋体"/>
          <w:sz w:val="24"/>
        </w:rPr>
        <w:t>.1.2</w:t>
      </w:r>
      <w:r>
        <w:rPr>
          <w:rFonts w:hint="eastAsia" w:ascii="宋体" w:hAnsi="宋体"/>
          <w:sz w:val="24"/>
        </w:rPr>
        <w:t>全部零部件均应进行工厂检验，并保证制造满足设计图纸的要求。</w:t>
      </w:r>
    </w:p>
    <w:p w14:paraId="147EB256">
      <w:pPr>
        <w:pStyle w:val="35"/>
        <w:numPr>
          <w:ilvl w:val="2"/>
          <w:numId w:val="0"/>
        </w:numPr>
        <w:spacing w:before="60" w:after="60" w:line="360" w:lineRule="auto"/>
        <w:ind w:left="720" w:hanging="720"/>
        <w:rPr>
          <w:rFonts w:hint="eastAsia" w:ascii="宋体" w:hAnsi="宋体"/>
          <w:sz w:val="24"/>
        </w:rPr>
      </w:pPr>
      <w:r>
        <w:rPr>
          <w:rFonts w:hint="eastAsia" w:ascii="宋体" w:hAnsi="宋体"/>
          <w:sz w:val="24"/>
        </w:rPr>
        <w:t>5</w:t>
      </w:r>
      <w:r>
        <w:rPr>
          <w:rFonts w:ascii="宋体" w:hAnsi="宋体"/>
          <w:sz w:val="24"/>
        </w:rPr>
        <w:t>.1.3</w:t>
      </w:r>
      <w:r>
        <w:rPr>
          <w:rFonts w:hint="eastAsia" w:ascii="宋体" w:hAnsi="宋体"/>
          <w:sz w:val="24"/>
        </w:rPr>
        <w:t>投标方应提供有关质量保证的各项文件，这些文件至少包括：</w:t>
      </w:r>
    </w:p>
    <w:p w14:paraId="5B8C414E">
      <w:pPr>
        <w:pStyle w:val="35"/>
        <w:numPr>
          <w:ilvl w:val="0"/>
          <w:numId w:val="1"/>
        </w:numPr>
        <w:spacing w:before="60" w:after="60" w:line="360" w:lineRule="auto"/>
        <w:contextualSpacing w:val="0"/>
        <w:rPr>
          <w:rFonts w:hint="eastAsia" w:ascii="宋体" w:hAnsi="宋体"/>
          <w:sz w:val="24"/>
        </w:rPr>
      </w:pPr>
      <w:r>
        <w:rPr>
          <w:rFonts w:hint="eastAsia" w:ascii="宋体" w:hAnsi="宋体"/>
          <w:sz w:val="24"/>
        </w:rPr>
        <w:t>产品检验合格证书;</w:t>
      </w:r>
    </w:p>
    <w:p w14:paraId="2EB24782">
      <w:pPr>
        <w:pStyle w:val="35"/>
        <w:numPr>
          <w:ilvl w:val="0"/>
          <w:numId w:val="1"/>
        </w:numPr>
        <w:spacing w:before="60" w:after="60" w:line="360" w:lineRule="auto"/>
        <w:contextualSpacing w:val="0"/>
        <w:rPr>
          <w:rFonts w:hint="eastAsia" w:ascii="宋体" w:hAnsi="宋体"/>
          <w:sz w:val="24"/>
        </w:rPr>
      </w:pPr>
      <w:r>
        <w:rPr>
          <w:rFonts w:hint="eastAsia" w:ascii="宋体" w:hAnsi="宋体"/>
          <w:sz w:val="24"/>
        </w:rPr>
        <w:t>材料合格证及按照订货合同规定提供的材料检验报告及压力容器监检资料；</w:t>
      </w:r>
    </w:p>
    <w:p w14:paraId="086E1342">
      <w:pPr>
        <w:pStyle w:val="35"/>
        <w:numPr>
          <w:ilvl w:val="0"/>
          <w:numId w:val="1"/>
        </w:numPr>
        <w:spacing w:before="60" w:after="60" w:line="360" w:lineRule="auto"/>
        <w:contextualSpacing w:val="0"/>
        <w:rPr>
          <w:rFonts w:hint="eastAsia" w:ascii="宋体" w:hAnsi="宋体"/>
          <w:sz w:val="24"/>
        </w:rPr>
      </w:pPr>
      <w:r>
        <w:rPr>
          <w:rFonts w:hint="eastAsia" w:ascii="宋体" w:hAnsi="宋体"/>
          <w:sz w:val="24"/>
        </w:rPr>
        <w:t>技术协议中对零件有热处理要求时，则应提供热处理报告。关键热处理件的加热温度、保温时间或加热制度应保留质量记录，以备检查；</w:t>
      </w:r>
    </w:p>
    <w:p w14:paraId="01E573F7">
      <w:pPr>
        <w:pStyle w:val="35"/>
        <w:numPr>
          <w:ilvl w:val="0"/>
          <w:numId w:val="1"/>
        </w:numPr>
        <w:spacing w:before="60" w:after="60" w:line="360" w:lineRule="auto"/>
        <w:contextualSpacing w:val="0"/>
        <w:rPr>
          <w:rFonts w:hint="eastAsia" w:ascii="宋体" w:hAnsi="宋体"/>
          <w:sz w:val="24"/>
        </w:rPr>
      </w:pPr>
      <w:r>
        <w:rPr>
          <w:rFonts w:hint="eastAsia" w:ascii="宋体" w:hAnsi="宋体"/>
          <w:sz w:val="24"/>
        </w:rPr>
        <w:t>技术协议中对材料检验有特殊规定，或要求进行无损探伤检验时，则还应提供相应的检验报告；</w:t>
      </w:r>
    </w:p>
    <w:p w14:paraId="5A9E8BEB">
      <w:pPr>
        <w:pStyle w:val="35"/>
        <w:numPr>
          <w:ilvl w:val="0"/>
          <w:numId w:val="1"/>
        </w:numPr>
        <w:spacing w:before="60" w:after="60" w:line="360" w:lineRule="auto"/>
        <w:contextualSpacing w:val="0"/>
        <w:rPr>
          <w:rFonts w:hint="eastAsia" w:ascii="宋体" w:hAnsi="宋体"/>
          <w:sz w:val="24"/>
        </w:rPr>
      </w:pPr>
      <w:r>
        <w:rPr>
          <w:rFonts w:hint="eastAsia" w:ascii="宋体" w:hAnsi="宋体"/>
          <w:sz w:val="24"/>
        </w:rPr>
        <w:t>技术协议中对壳体、密封性有要求时，则应提供试验报告，试验报告应载明试验执行的标准、试验条件、试验结果等；</w:t>
      </w:r>
    </w:p>
    <w:p w14:paraId="0F6A9144">
      <w:pPr>
        <w:pStyle w:val="35"/>
        <w:numPr>
          <w:ilvl w:val="0"/>
          <w:numId w:val="1"/>
        </w:numPr>
        <w:spacing w:before="60" w:after="60" w:line="360" w:lineRule="auto"/>
        <w:contextualSpacing w:val="0"/>
        <w:rPr>
          <w:rFonts w:hint="eastAsia" w:ascii="宋体" w:hAnsi="宋体"/>
          <w:sz w:val="24"/>
        </w:rPr>
      </w:pPr>
      <w:r>
        <w:rPr>
          <w:rFonts w:hint="eastAsia" w:ascii="宋体" w:hAnsi="宋体"/>
          <w:sz w:val="24"/>
        </w:rPr>
        <w:t>图样上规定的重要配合尺寸与其加工后的实测尺寸，要对照列入检查报告；</w:t>
      </w:r>
    </w:p>
    <w:p w14:paraId="06538E7C">
      <w:pPr>
        <w:pStyle w:val="35"/>
        <w:numPr>
          <w:ilvl w:val="0"/>
          <w:numId w:val="1"/>
        </w:numPr>
        <w:spacing w:before="60" w:after="60" w:line="360" w:lineRule="auto"/>
        <w:contextualSpacing w:val="0"/>
        <w:rPr>
          <w:rFonts w:hint="eastAsia" w:ascii="宋体" w:hAnsi="宋体"/>
          <w:sz w:val="24"/>
        </w:rPr>
      </w:pPr>
      <w:r>
        <w:rPr>
          <w:rFonts w:hint="eastAsia" w:ascii="宋体" w:hAnsi="宋体"/>
          <w:sz w:val="24"/>
        </w:rPr>
        <w:t>外购的所有配套件的合格证、说明书及检验报告，其原件或复印件应附在产品的相应随机文件内；</w:t>
      </w:r>
    </w:p>
    <w:p w14:paraId="4E8DE80A">
      <w:pPr>
        <w:pStyle w:val="35"/>
        <w:numPr>
          <w:ilvl w:val="2"/>
          <w:numId w:val="0"/>
        </w:numPr>
        <w:spacing w:before="60" w:after="60" w:line="360" w:lineRule="auto"/>
        <w:ind w:left="720" w:hanging="720"/>
        <w:rPr>
          <w:rFonts w:hint="eastAsia" w:ascii="宋体" w:hAnsi="宋体"/>
          <w:sz w:val="24"/>
        </w:rPr>
      </w:pPr>
      <w:r>
        <w:rPr>
          <w:rFonts w:hint="eastAsia" w:ascii="宋体" w:hAnsi="宋体"/>
          <w:sz w:val="24"/>
        </w:rPr>
        <w:t>5</w:t>
      </w:r>
      <w:r>
        <w:rPr>
          <w:rFonts w:ascii="宋体" w:hAnsi="宋体"/>
          <w:sz w:val="24"/>
        </w:rPr>
        <w:t>.1.4</w:t>
      </w:r>
      <w:r>
        <w:rPr>
          <w:rFonts w:hint="eastAsia" w:ascii="宋体" w:hAnsi="宋体"/>
          <w:sz w:val="24"/>
        </w:rPr>
        <w:t>设备在技术协议规定的质保期内，因制造质量问题而发生损坏、或不能进行正常工作时，投标方应免费为招标方修理或免费更换零部件，直至满足使用要求。</w:t>
      </w:r>
    </w:p>
    <w:p w14:paraId="350B9BEE">
      <w:pPr>
        <w:pStyle w:val="35"/>
        <w:numPr>
          <w:ilvl w:val="2"/>
          <w:numId w:val="0"/>
        </w:numPr>
        <w:spacing w:before="60" w:after="60" w:line="360" w:lineRule="auto"/>
        <w:ind w:left="720" w:hanging="720"/>
        <w:rPr>
          <w:rFonts w:hint="eastAsia" w:ascii="宋体" w:hAnsi="宋体"/>
          <w:sz w:val="24"/>
        </w:rPr>
      </w:pPr>
      <w:r>
        <w:rPr>
          <w:rFonts w:hint="eastAsia" w:ascii="宋体" w:hAnsi="宋体"/>
          <w:sz w:val="24"/>
        </w:rPr>
        <w:t>5</w:t>
      </w:r>
      <w:r>
        <w:rPr>
          <w:rFonts w:ascii="宋体" w:hAnsi="宋体"/>
          <w:sz w:val="24"/>
        </w:rPr>
        <w:t>.1.5</w:t>
      </w:r>
      <w:r>
        <w:rPr>
          <w:rFonts w:hint="eastAsia" w:ascii="宋体" w:hAnsi="宋体"/>
          <w:sz w:val="24"/>
        </w:rPr>
        <w:t>因投标方设备质量问题导致招标方设备无法正常运行，造成损失的，招标方有权进行索赔。</w:t>
      </w:r>
    </w:p>
    <w:p w14:paraId="1969BA34">
      <w:pPr>
        <w:pStyle w:val="35"/>
        <w:numPr>
          <w:ilvl w:val="1"/>
          <w:numId w:val="0"/>
        </w:numPr>
        <w:spacing w:before="60" w:after="60" w:line="360" w:lineRule="auto"/>
        <w:rPr>
          <w:rFonts w:hint="eastAsia" w:ascii="宋体" w:hAnsi="宋体"/>
          <w:sz w:val="24"/>
        </w:rPr>
      </w:pPr>
      <w:r>
        <w:rPr>
          <w:rFonts w:hint="eastAsia" w:ascii="宋体" w:hAnsi="宋体"/>
          <w:sz w:val="24"/>
        </w:rPr>
        <w:t>5</w:t>
      </w:r>
      <w:r>
        <w:rPr>
          <w:rFonts w:ascii="宋体" w:hAnsi="宋体"/>
          <w:sz w:val="24"/>
        </w:rPr>
        <w:t>.2</w:t>
      </w:r>
      <w:r>
        <w:rPr>
          <w:rFonts w:hint="eastAsia" w:ascii="宋体" w:hAnsi="宋体"/>
          <w:sz w:val="24"/>
        </w:rPr>
        <w:t>质量保证期</w:t>
      </w:r>
    </w:p>
    <w:p w14:paraId="08190DF9">
      <w:pPr>
        <w:pStyle w:val="35"/>
        <w:numPr>
          <w:ilvl w:val="1"/>
          <w:numId w:val="0"/>
        </w:numPr>
        <w:spacing w:before="60" w:after="60" w:line="360" w:lineRule="auto"/>
        <w:ind w:firstLine="480" w:firstLineChars="200"/>
        <w:rPr>
          <w:rFonts w:hint="eastAsia" w:ascii="宋体" w:hAnsi="宋体"/>
          <w:sz w:val="24"/>
        </w:rPr>
      </w:pPr>
      <w:r>
        <w:rPr>
          <w:rFonts w:hint="eastAsia" w:ascii="宋体" w:hAnsi="宋体"/>
          <w:sz w:val="24"/>
        </w:rPr>
        <w:t>质量保证期不低于壹年（整机投产验收合格后12个月）。</w:t>
      </w:r>
    </w:p>
    <w:p w14:paraId="4439BBF5">
      <w:pPr>
        <w:pStyle w:val="35"/>
        <w:numPr>
          <w:ilvl w:val="1"/>
          <w:numId w:val="0"/>
        </w:numPr>
        <w:spacing w:before="60" w:after="60" w:line="360" w:lineRule="auto"/>
        <w:ind w:firstLine="480" w:firstLineChars="200"/>
        <w:rPr>
          <w:rFonts w:hint="eastAsia" w:ascii="宋体" w:hAnsi="宋体"/>
          <w:sz w:val="24"/>
        </w:rPr>
      </w:pPr>
      <w:r>
        <w:rPr>
          <w:rFonts w:hint="eastAsia" w:ascii="宋体" w:hAnsi="宋体"/>
          <w:sz w:val="24"/>
        </w:rPr>
        <w:t>使用寿命应不小于贰拾年。</w:t>
      </w:r>
    </w:p>
    <w:p w14:paraId="75EC902D">
      <w:pPr>
        <w:pStyle w:val="2"/>
        <w:spacing w:before="156" w:beforeLines="50" w:after="156" w:afterLines="50" w:line="360" w:lineRule="auto"/>
        <w:ind w:left="369" w:hanging="369"/>
        <w:rPr>
          <w:rFonts w:ascii="Times New Roman" w:hAnsi="Times New Roman" w:eastAsia="宋体" w:cs="宋体"/>
          <w:b/>
          <w:color w:val="auto"/>
          <w:sz w:val="28"/>
          <w:szCs w:val="28"/>
        </w:rPr>
      </w:pPr>
      <w:bookmarkStart w:id="5" w:name="_Toc2219"/>
      <w:r>
        <w:rPr>
          <w:rFonts w:hint="eastAsia" w:ascii="Times New Roman" w:hAnsi="Times New Roman" w:eastAsia="宋体" w:cs="宋体"/>
          <w:b/>
          <w:color w:val="auto"/>
          <w:sz w:val="28"/>
          <w:szCs w:val="28"/>
        </w:rPr>
        <w:t>6.监造与验收</w:t>
      </w:r>
      <w:bookmarkEnd w:id="5"/>
    </w:p>
    <w:p w14:paraId="0F63F6F3">
      <w:pPr>
        <w:pStyle w:val="35"/>
        <w:numPr>
          <w:ilvl w:val="1"/>
          <w:numId w:val="0"/>
        </w:numPr>
        <w:spacing w:before="60" w:after="60" w:line="360" w:lineRule="auto"/>
        <w:ind w:firstLine="480" w:firstLineChars="200"/>
        <w:rPr>
          <w:rFonts w:hint="eastAsia" w:ascii="宋体" w:hAnsi="宋体"/>
          <w:sz w:val="24"/>
        </w:rPr>
      </w:pPr>
      <w:r>
        <w:rPr>
          <w:rFonts w:hint="eastAsia" w:ascii="宋体" w:hAnsi="宋体"/>
          <w:sz w:val="24"/>
        </w:rPr>
        <w:t>6.1招标方有权在合同设备制造过程中派驻招标方代表，进行监造和出厂前检验，了解设备组装、检验、试验和设备包装质量情况，并签字确认。投标方有配合监造义务，并及时提供相应资料，并不由此发生任何费用。</w:t>
      </w:r>
    </w:p>
    <w:p w14:paraId="090591A3">
      <w:pPr>
        <w:pStyle w:val="35"/>
        <w:numPr>
          <w:ilvl w:val="1"/>
          <w:numId w:val="0"/>
        </w:numPr>
        <w:spacing w:before="60" w:after="60" w:line="360" w:lineRule="auto"/>
        <w:ind w:firstLine="480" w:firstLineChars="200"/>
        <w:rPr>
          <w:rFonts w:hint="eastAsia" w:ascii="宋体" w:hAnsi="宋体"/>
          <w:sz w:val="24"/>
        </w:rPr>
      </w:pPr>
      <w:r>
        <w:rPr>
          <w:rFonts w:hint="eastAsia" w:ascii="宋体" w:hAnsi="宋体"/>
          <w:sz w:val="24"/>
        </w:rPr>
        <w:t>6.2投标方应为招标方代表提供下列方便：</w:t>
      </w:r>
    </w:p>
    <w:p w14:paraId="35B0C706">
      <w:pPr>
        <w:pStyle w:val="35"/>
        <w:numPr>
          <w:ilvl w:val="1"/>
          <w:numId w:val="0"/>
        </w:numPr>
        <w:spacing w:before="60" w:after="60" w:line="360" w:lineRule="auto"/>
        <w:ind w:firstLine="480" w:firstLineChars="200"/>
        <w:rPr>
          <w:rFonts w:hint="eastAsia" w:ascii="宋体" w:hAnsi="宋体"/>
          <w:sz w:val="24"/>
        </w:rPr>
      </w:pPr>
      <w:r>
        <w:rPr>
          <w:rFonts w:hint="eastAsia" w:ascii="宋体" w:hAnsi="宋体"/>
          <w:sz w:val="24"/>
        </w:rPr>
        <w:t>提前10天将设备监造及检验时间通知招标方代表；</w:t>
      </w:r>
    </w:p>
    <w:p w14:paraId="59CFFC7B">
      <w:pPr>
        <w:pStyle w:val="35"/>
        <w:numPr>
          <w:ilvl w:val="1"/>
          <w:numId w:val="0"/>
        </w:numPr>
        <w:spacing w:before="60" w:after="60" w:line="360" w:lineRule="auto"/>
        <w:ind w:firstLine="480" w:firstLineChars="200"/>
        <w:rPr>
          <w:rFonts w:hint="eastAsia" w:ascii="宋体" w:hAnsi="宋体"/>
          <w:sz w:val="24"/>
        </w:rPr>
      </w:pPr>
      <w:r>
        <w:rPr>
          <w:rFonts w:hint="eastAsia" w:ascii="宋体" w:hAnsi="宋体"/>
          <w:sz w:val="24"/>
        </w:rPr>
        <w:t>招标方代表如不能按投标方通知按时到达现场，投标方的检验、试车工作可正常进行，其结果有效，但投标方应将结果通知招标方。</w:t>
      </w:r>
    </w:p>
    <w:p w14:paraId="1B15E994">
      <w:pPr>
        <w:pStyle w:val="35"/>
        <w:numPr>
          <w:ilvl w:val="1"/>
          <w:numId w:val="0"/>
        </w:numPr>
        <w:spacing w:before="60" w:after="60" w:line="360" w:lineRule="auto"/>
        <w:ind w:firstLine="480" w:firstLineChars="200"/>
        <w:rPr>
          <w:rFonts w:hint="eastAsia" w:ascii="宋体" w:hAnsi="宋体"/>
          <w:sz w:val="24"/>
        </w:rPr>
      </w:pPr>
      <w:r>
        <w:rPr>
          <w:rFonts w:hint="eastAsia" w:ascii="宋体" w:hAnsi="宋体"/>
          <w:sz w:val="24"/>
        </w:rPr>
        <w:t>招标方代表有权通过投标方有关部门查（借）阅投标方与合同设备有关的标准（包括工厂标准）、图纸、资料、工艺及实际工艺过程和检验记录（包括中间检验记录），对于检验记录，如招标方认为需要复印存档，投标方应提供方便。投标方有配合招标方监造的义务，并提供招标方需要的相关资料、检测器具。</w:t>
      </w:r>
    </w:p>
    <w:p w14:paraId="32AEA603">
      <w:pPr>
        <w:pStyle w:val="35"/>
        <w:numPr>
          <w:ilvl w:val="1"/>
          <w:numId w:val="0"/>
        </w:numPr>
        <w:spacing w:before="60" w:after="60" w:line="360" w:lineRule="auto"/>
        <w:ind w:firstLine="480" w:firstLineChars="200"/>
        <w:rPr>
          <w:rFonts w:hint="eastAsia" w:ascii="宋体" w:hAnsi="宋体"/>
          <w:sz w:val="24"/>
        </w:rPr>
      </w:pPr>
      <w:r>
        <w:rPr>
          <w:rFonts w:hint="eastAsia" w:ascii="宋体" w:hAnsi="宋体"/>
          <w:sz w:val="24"/>
        </w:rPr>
        <w:t>6.3招标方在监造中如发现设备和材料缺陷或不符合规定的标准要求时，招标方代表有权提出意见，投标方应采取相应改进措施，以保证交货质量。无论招标方是否要求或是否知道，投标方均有义务主动及时地向招标方提供合同设备制造过程中出现的较大质量缺陷和问题，不得隐瞒。在招标方不知道的情况下投标方不得擅自处理。</w:t>
      </w:r>
    </w:p>
    <w:p w14:paraId="7123935C">
      <w:pPr>
        <w:pStyle w:val="35"/>
        <w:numPr>
          <w:ilvl w:val="1"/>
          <w:numId w:val="0"/>
        </w:numPr>
        <w:spacing w:before="60" w:after="60" w:line="360" w:lineRule="auto"/>
        <w:ind w:firstLine="480" w:firstLineChars="200"/>
        <w:rPr>
          <w:rFonts w:hint="eastAsia" w:ascii="宋体" w:hAnsi="宋体"/>
          <w:sz w:val="24"/>
        </w:rPr>
      </w:pPr>
      <w:r>
        <w:rPr>
          <w:rFonts w:hint="eastAsia" w:ascii="宋体" w:hAnsi="宋体"/>
          <w:sz w:val="24"/>
        </w:rPr>
        <w:t>6.4无论招标方人员是否参与监造及出厂检验或招标方代表参加了监造与检验，并且签了监造与检验报告，均不能视为投标方按合同规定应承担的质量保证责任的解除，也不能免除投标方对设备质量应负的责任。</w:t>
      </w:r>
    </w:p>
    <w:p w14:paraId="7CD91B31">
      <w:pPr>
        <w:pStyle w:val="35"/>
        <w:numPr>
          <w:ilvl w:val="1"/>
          <w:numId w:val="0"/>
        </w:numPr>
        <w:spacing w:before="60" w:after="60" w:line="360" w:lineRule="auto"/>
        <w:ind w:firstLine="480" w:firstLineChars="200"/>
        <w:rPr>
          <w:rFonts w:hint="eastAsia" w:ascii="宋体" w:hAnsi="宋体"/>
          <w:sz w:val="24"/>
        </w:rPr>
      </w:pPr>
      <w:r>
        <w:rPr>
          <w:rFonts w:hint="eastAsia" w:ascii="宋体" w:hAnsi="宋体"/>
          <w:sz w:val="24"/>
        </w:rPr>
        <w:t>6.5货到达目的地后，如有必要，投标方应在接到招标方通知后及时赶到现场与招标方根据运单和装箱组织对货物包装，外观及件数进行清点检验。招标方应在开箱检查前5天通知投标方开箱检验，投标方应派检验人员参与现场检验工作，如投标方人员未按规定赶赴现场，招标方有权自行开箱检验，检验结果和记录对双方均有效，并作为招标方向投标方索赔依据。</w:t>
      </w:r>
    </w:p>
    <w:p w14:paraId="2FF520DC">
      <w:pPr>
        <w:pStyle w:val="35"/>
        <w:numPr>
          <w:ilvl w:val="1"/>
          <w:numId w:val="0"/>
        </w:numPr>
        <w:spacing w:before="60" w:after="60" w:line="360" w:lineRule="auto"/>
        <w:ind w:firstLine="480" w:firstLineChars="200"/>
        <w:rPr>
          <w:rFonts w:hint="eastAsia" w:ascii="宋体" w:hAnsi="宋体"/>
          <w:sz w:val="24"/>
        </w:rPr>
      </w:pPr>
      <w:r>
        <w:rPr>
          <w:rFonts w:hint="eastAsia" w:ascii="宋体" w:hAnsi="宋体"/>
          <w:sz w:val="24"/>
        </w:rPr>
        <w:t>6.6供货范围内的设备出厂时必须附有出厂检验报告、合格证书，主要进口设备(如有)提供设备的原产地证明。</w:t>
      </w:r>
    </w:p>
    <w:p w14:paraId="69FA6DB6">
      <w:pPr>
        <w:pStyle w:val="35"/>
        <w:numPr>
          <w:ilvl w:val="1"/>
          <w:numId w:val="0"/>
        </w:numPr>
        <w:spacing w:before="60" w:after="60" w:line="360" w:lineRule="auto"/>
        <w:ind w:firstLine="480" w:firstLineChars="200"/>
        <w:rPr>
          <w:rFonts w:hint="eastAsia" w:ascii="宋体" w:hAnsi="宋体"/>
          <w:sz w:val="24"/>
        </w:rPr>
      </w:pPr>
      <w:r>
        <w:rPr>
          <w:rFonts w:hint="eastAsia" w:ascii="宋体" w:hAnsi="宋体"/>
          <w:sz w:val="24"/>
        </w:rPr>
        <w:t>6.7设备的调试、性能考核和验收</w:t>
      </w:r>
    </w:p>
    <w:p w14:paraId="474FDE7F">
      <w:pPr>
        <w:pStyle w:val="35"/>
        <w:numPr>
          <w:ilvl w:val="1"/>
          <w:numId w:val="0"/>
        </w:numPr>
        <w:spacing w:before="60" w:after="60" w:line="360" w:lineRule="auto"/>
        <w:ind w:firstLine="480" w:firstLineChars="200"/>
        <w:rPr>
          <w:rFonts w:hint="eastAsia" w:ascii="宋体" w:hAnsi="宋体"/>
          <w:sz w:val="24"/>
        </w:rPr>
      </w:pPr>
      <w:r>
        <w:rPr>
          <w:rFonts w:hint="eastAsia" w:ascii="宋体" w:hAnsi="宋体"/>
          <w:sz w:val="24"/>
        </w:rPr>
        <w:t>①在设备安装和机械试运转后，设备调试应在投标方工程师指导下进行。</w:t>
      </w:r>
    </w:p>
    <w:p w14:paraId="5E177FE2">
      <w:pPr>
        <w:pStyle w:val="35"/>
        <w:numPr>
          <w:ilvl w:val="1"/>
          <w:numId w:val="0"/>
        </w:numPr>
        <w:spacing w:before="60" w:after="60" w:line="360" w:lineRule="auto"/>
        <w:ind w:firstLine="480" w:firstLineChars="200"/>
        <w:rPr>
          <w:rFonts w:hint="eastAsia" w:ascii="宋体" w:hAnsi="宋体"/>
          <w:sz w:val="24"/>
        </w:rPr>
      </w:pPr>
      <w:r>
        <w:rPr>
          <w:rFonts w:hint="eastAsia" w:ascii="宋体" w:hAnsi="宋体"/>
          <w:sz w:val="24"/>
        </w:rPr>
        <w:t>②设备性能考核应在双方代表共同参与的情况下进行。</w:t>
      </w:r>
    </w:p>
    <w:p w14:paraId="4691E176">
      <w:pPr>
        <w:pStyle w:val="35"/>
        <w:numPr>
          <w:ilvl w:val="1"/>
          <w:numId w:val="0"/>
        </w:numPr>
        <w:spacing w:before="60" w:after="60" w:line="360" w:lineRule="auto"/>
        <w:ind w:firstLine="480" w:firstLineChars="200"/>
        <w:rPr>
          <w:rFonts w:hint="eastAsia" w:ascii="宋体" w:hAnsi="宋体"/>
          <w:sz w:val="24"/>
        </w:rPr>
      </w:pPr>
      <w:r>
        <w:rPr>
          <w:rFonts w:hint="eastAsia" w:ascii="宋体" w:hAnsi="宋体"/>
          <w:sz w:val="24"/>
        </w:rPr>
        <w:t>③设备性能考核应能满足性能与机械保证中所要求的数据，性能考核的验收报告应在3天内由双方代表签字，验收报告一式四份。在考核中如有任何未能满足的保证数据，双方应共同按照下列方式找出问题并解决问题：</w:t>
      </w:r>
    </w:p>
    <w:p w14:paraId="658335F8">
      <w:pPr>
        <w:pStyle w:val="35"/>
        <w:numPr>
          <w:ilvl w:val="1"/>
          <w:numId w:val="0"/>
        </w:numPr>
        <w:spacing w:before="60" w:after="60" w:line="360" w:lineRule="auto"/>
        <w:ind w:firstLine="480" w:firstLineChars="200"/>
        <w:rPr>
          <w:rFonts w:hint="eastAsia" w:ascii="宋体" w:hAnsi="宋体"/>
          <w:sz w:val="24"/>
        </w:rPr>
      </w:pPr>
      <w:r>
        <w:rPr>
          <w:rFonts w:hint="eastAsia" w:ascii="宋体" w:hAnsi="宋体"/>
          <w:sz w:val="24"/>
        </w:rPr>
        <w:t>第一种方式：</w:t>
      </w:r>
    </w:p>
    <w:p w14:paraId="75BA5D95">
      <w:pPr>
        <w:pStyle w:val="35"/>
        <w:numPr>
          <w:ilvl w:val="1"/>
          <w:numId w:val="0"/>
        </w:numPr>
        <w:spacing w:before="60" w:after="60" w:line="360" w:lineRule="auto"/>
        <w:ind w:firstLine="480" w:firstLineChars="200"/>
        <w:rPr>
          <w:rFonts w:hint="eastAsia" w:ascii="宋体" w:hAnsi="宋体"/>
          <w:sz w:val="24"/>
        </w:rPr>
      </w:pPr>
      <w:r>
        <w:rPr>
          <w:rFonts w:hint="eastAsia" w:ascii="宋体" w:hAnsi="宋体"/>
          <w:sz w:val="24"/>
        </w:rPr>
        <w:t>若投标方原因造成的未能达到设计要求，投标方应采用一切必要的措施来改善设备性能，直到满足保证数据，所发生的费用由投标方负责。</w:t>
      </w:r>
    </w:p>
    <w:p w14:paraId="09A50BF4">
      <w:pPr>
        <w:pStyle w:val="35"/>
        <w:numPr>
          <w:ilvl w:val="1"/>
          <w:numId w:val="0"/>
        </w:numPr>
        <w:spacing w:before="60" w:after="60" w:line="360" w:lineRule="auto"/>
        <w:ind w:firstLine="480" w:firstLineChars="200"/>
        <w:rPr>
          <w:rFonts w:hint="eastAsia" w:ascii="宋体" w:hAnsi="宋体"/>
          <w:sz w:val="24"/>
        </w:rPr>
      </w:pPr>
      <w:r>
        <w:rPr>
          <w:rFonts w:hint="eastAsia" w:ascii="宋体" w:hAnsi="宋体"/>
          <w:sz w:val="24"/>
        </w:rPr>
        <w:t>第二种方式：</w:t>
      </w:r>
    </w:p>
    <w:p w14:paraId="1BC835A2">
      <w:pPr>
        <w:pStyle w:val="35"/>
        <w:numPr>
          <w:ilvl w:val="1"/>
          <w:numId w:val="0"/>
        </w:numPr>
        <w:spacing w:before="60" w:after="60" w:line="360" w:lineRule="auto"/>
        <w:ind w:firstLine="480" w:firstLineChars="200"/>
        <w:rPr>
          <w:rFonts w:hint="eastAsia" w:ascii="宋体" w:hAnsi="宋体"/>
          <w:sz w:val="24"/>
        </w:rPr>
      </w:pPr>
      <w:r>
        <w:rPr>
          <w:rFonts w:hint="eastAsia" w:ascii="宋体" w:hAnsi="宋体"/>
          <w:sz w:val="24"/>
        </w:rPr>
        <w:t>若招标原因造成的未能达到设计要求，招标应采用一切必要的措施来消除这种缺陷，并组织第二次性能考核，所发生的费用由招标负责，招标方协助甲方直到设备满足保证数据。</w:t>
      </w:r>
    </w:p>
    <w:p w14:paraId="6ABE3ED9">
      <w:pPr>
        <w:pStyle w:val="35"/>
        <w:numPr>
          <w:ilvl w:val="1"/>
          <w:numId w:val="0"/>
        </w:numPr>
        <w:spacing w:before="60" w:after="60" w:line="360" w:lineRule="auto"/>
        <w:ind w:firstLine="480" w:firstLineChars="200"/>
        <w:rPr>
          <w:rFonts w:hint="eastAsia" w:ascii="宋体" w:hAnsi="宋体"/>
          <w:sz w:val="24"/>
        </w:rPr>
      </w:pPr>
      <w:r>
        <w:rPr>
          <w:rFonts w:hint="eastAsia" w:ascii="宋体" w:hAnsi="宋体"/>
          <w:sz w:val="24"/>
        </w:rPr>
        <w:t>6.8检验规程</w:t>
      </w:r>
    </w:p>
    <w:p w14:paraId="1F7DF11D">
      <w:pPr>
        <w:pStyle w:val="35"/>
        <w:numPr>
          <w:ilvl w:val="1"/>
          <w:numId w:val="0"/>
        </w:numPr>
        <w:spacing w:before="60" w:after="60" w:line="360" w:lineRule="auto"/>
        <w:ind w:firstLine="480" w:firstLineChars="200"/>
        <w:rPr>
          <w:rFonts w:hint="eastAsia" w:ascii="宋体" w:hAnsi="宋体"/>
          <w:sz w:val="24"/>
        </w:rPr>
      </w:pPr>
      <w:r>
        <w:rPr>
          <w:rFonts w:hint="eastAsia" w:ascii="宋体" w:hAnsi="宋体"/>
          <w:sz w:val="24"/>
        </w:rPr>
        <w:t>①外观检验</w:t>
      </w:r>
    </w:p>
    <w:p w14:paraId="3D9796B0">
      <w:pPr>
        <w:pStyle w:val="35"/>
        <w:numPr>
          <w:ilvl w:val="1"/>
          <w:numId w:val="0"/>
        </w:numPr>
        <w:spacing w:before="60" w:after="60" w:line="360" w:lineRule="auto"/>
        <w:ind w:firstLine="480" w:firstLineChars="200"/>
        <w:rPr>
          <w:rFonts w:hint="eastAsia" w:ascii="宋体" w:hAnsi="宋体"/>
          <w:sz w:val="24"/>
        </w:rPr>
      </w:pPr>
      <w:r>
        <w:rPr>
          <w:rFonts w:hint="eastAsia" w:ascii="宋体" w:hAnsi="宋体"/>
          <w:sz w:val="24"/>
        </w:rPr>
        <w:t>整体应美观，不应有凹坑等缺陷。焊接部分应平整且符合GB150标准的规定。外表油漆应光洁，不应有脱落和锈斑现象，外表颜色需经甲方确认。</w:t>
      </w:r>
    </w:p>
    <w:p w14:paraId="7B7CBDC4">
      <w:pPr>
        <w:pStyle w:val="35"/>
        <w:numPr>
          <w:ilvl w:val="1"/>
          <w:numId w:val="0"/>
        </w:numPr>
        <w:spacing w:before="60" w:after="60" w:line="360" w:lineRule="auto"/>
        <w:ind w:firstLine="480" w:firstLineChars="200"/>
        <w:rPr>
          <w:rFonts w:hint="eastAsia" w:ascii="宋体" w:hAnsi="宋体"/>
          <w:sz w:val="24"/>
        </w:rPr>
      </w:pPr>
      <w:r>
        <w:rPr>
          <w:rFonts w:hint="eastAsia" w:ascii="宋体" w:hAnsi="宋体"/>
          <w:sz w:val="24"/>
        </w:rPr>
        <w:t>②整机试压检验</w:t>
      </w:r>
    </w:p>
    <w:p w14:paraId="7B89149E">
      <w:pPr>
        <w:pStyle w:val="35"/>
        <w:numPr>
          <w:ilvl w:val="1"/>
          <w:numId w:val="0"/>
        </w:numPr>
        <w:spacing w:before="60" w:after="60" w:line="360" w:lineRule="auto"/>
        <w:ind w:firstLine="480" w:firstLineChars="200"/>
        <w:rPr>
          <w:rFonts w:hint="eastAsia" w:ascii="宋体" w:hAnsi="宋体"/>
          <w:sz w:val="24"/>
        </w:rPr>
      </w:pPr>
      <w:r>
        <w:rPr>
          <w:rFonts w:hint="eastAsia" w:ascii="宋体" w:hAnsi="宋体"/>
          <w:sz w:val="24"/>
        </w:rPr>
        <w:t>整机出厂前做耐压试验，以设计压力的1.25倍进行耐压试验，30min内压力应无下降，然后缓慢降至设计压力，30min无异样后缓慢降压至零。</w:t>
      </w:r>
    </w:p>
    <w:p w14:paraId="54E8DA86">
      <w:pPr>
        <w:pStyle w:val="35"/>
        <w:spacing w:line="360" w:lineRule="auto"/>
        <w:ind w:left="420" w:leftChars="200"/>
        <w:rPr>
          <w:rFonts w:hint="eastAsia" w:ascii="宋体" w:hAnsi="宋体"/>
          <w:sz w:val="24"/>
        </w:rPr>
      </w:pPr>
      <w:r>
        <w:rPr>
          <w:rFonts w:hint="eastAsia" w:ascii="宋体" w:hAnsi="宋体"/>
          <w:sz w:val="24"/>
        </w:rPr>
        <w:t>6.9投标方</w:t>
      </w:r>
      <w:r>
        <w:rPr>
          <w:rFonts w:hint="eastAsia" w:ascii="宋体" w:hAnsi="宋体" w:cs="宋体"/>
          <w:sz w:val="24"/>
        </w:rPr>
        <w:t>负责设备包装运输，包装满足运输和装卸要求，防潮湿、防磕碰、防振动。</w:t>
      </w:r>
    </w:p>
    <w:p w14:paraId="75BC6295">
      <w:pPr>
        <w:pStyle w:val="2"/>
        <w:spacing w:before="156" w:beforeLines="50" w:after="156" w:afterLines="50" w:line="360" w:lineRule="auto"/>
        <w:ind w:left="369" w:hanging="369"/>
        <w:rPr>
          <w:rFonts w:ascii="Times New Roman" w:hAnsi="Times New Roman" w:eastAsia="宋体" w:cs="宋体"/>
          <w:b/>
          <w:color w:val="auto"/>
          <w:sz w:val="28"/>
          <w:szCs w:val="28"/>
        </w:rPr>
      </w:pPr>
      <w:bookmarkStart w:id="6" w:name="_Toc14583"/>
      <w:r>
        <w:rPr>
          <w:rFonts w:hint="eastAsia" w:ascii="Times New Roman" w:hAnsi="Times New Roman" w:eastAsia="宋体" w:cs="宋体"/>
          <w:b/>
          <w:color w:val="auto"/>
          <w:sz w:val="28"/>
          <w:szCs w:val="28"/>
        </w:rPr>
        <w:t>8.售后服务</w:t>
      </w:r>
      <w:bookmarkEnd w:id="6"/>
    </w:p>
    <w:p w14:paraId="571EE783">
      <w:pPr>
        <w:pStyle w:val="35"/>
        <w:numPr>
          <w:ilvl w:val="1"/>
          <w:numId w:val="0"/>
        </w:numPr>
        <w:spacing w:before="60" w:after="60" w:line="360" w:lineRule="auto"/>
        <w:ind w:firstLine="480" w:firstLineChars="200"/>
        <w:rPr>
          <w:rFonts w:hint="eastAsia" w:ascii="宋体" w:hAnsi="宋体"/>
          <w:sz w:val="24"/>
        </w:rPr>
      </w:pPr>
      <w:r>
        <w:rPr>
          <w:rFonts w:hint="eastAsia" w:ascii="宋体" w:hAnsi="宋体"/>
          <w:sz w:val="24"/>
        </w:rPr>
        <w:t>8.1投标方积极配合招标方进行方案论证和设计，在签定合同3日内提供有关技术资料和数据分析，做好售前服务。</w:t>
      </w:r>
    </w:p>
    <w:p w14:paraId="57A47051">
      <w:pPr>
        <w:pStyle w:val="35"/>
        <w:numPr>
          <w:ilvl w:val="1"/>
          <w:numId w:val="0"/>
        </w:numPr>
        <w:spacing w:before="60" w:after="60" w:line="360" w:lineRule="auto"/>
        <w:ind w:firstLine="480" w:firstLineChars="200"/>
        <w:rPr>
          <w:rFonts w:hint="eastAsia" w:ascii="宋体" w:hAnsi="宋体"/>
          <w:sz w:val="24"/>
        </w:rPr>
      </w:pPr>
      <w:r>
        <w:rPr>
          <w:rFonts w:hint="eastAsia" w:ascii="宋体" w:hAnsi="宋体"/>
          <w:sz w:val="24"/>
        </w:rPr>
        <w:t>8.2投标方的责任包括从合同设备及其配套件的制造到整台套设备的交付使用，在设备生产护航期间，都应能够派专业技术人员到招标方指定的现场进行指导。</w:t>
      </w:r>
    </w:p>
    <w:p w14:paraId="5A75CA8F">
      <w:pPr>
        <w:pStyle w:val="35"/>
        <w:numPr>
          <w:ilvl w:val="1"/>
          <w:numId w:val="0"/>
        </w:numPr>
        <w:spacing w:before="60" w:after="60" w:line="360" w:lineRule="auto"/>
        <w:ind w:firstLine="480" w:firstLineChars="200"/>
        <w:rPr>
          <w:rFonts w:hint="eastAsia" w:ascii="宋体" w:hAnsi="宋体"/>
          <w:sz w:val="24"/>
        </w:rPr>
      </w:pPr>
      <w:r>
        <w:rPr>
          <w:rFonts w:hint="eastAsia" w:ascii="宋体" w:hAnsi="宋体"/>
          <w:sz w:val="24"/>
        </w:rPr>
        <w:t>8.3投标方应保证货物在进行安装、调试和试运行等过程中损坏的或有缺陷的零、部件能及时、方便地得到修理或更换。</w:t>
      </w:r>
    </w:p>
    <w:p w14:paraId="73E8C8CE">
      <w:pPr>
        <w:pStyle w:val="35"/>
        <w:numPr>
          <w:ilvl w:val="1"/>
          <w:numId w:val="0"/>
        </w:numPr>
        <w:spacing w:before="60" w:after="60" w:line="360" w:lineRule="auto"/>
        <w:ind w:firstLine="480" w:firstLineChars="200"/>
        <w:rPr>
          <w:rFonts w:hint="eastAsia" w:ascii="宋体" w:hAnsi="宋体"/>
          <w:sz w:val="24"/>
        </w:rPr>
      </w:pPr>
      <w:r>
        <w:rPr>
          <w:rFonts w:hint="eastAsia" w:ascii="宋体" w:hAnsi="宋体"/>
          <w:sz w:val="24"/>
        </w:rPr>
        <w:t>8.4货物使用期间，凡发生质量问题，投标方均能够及时地提供技术服务。在质量保证期内，招标方或业主发出通知后，对由于投标方制造所产生的问题，投标方应提供维修服务，免费修理或免费更换不合格的零、部件，以保证设备正常运行。</w:t>
      </w:r>
    </w:p>
    <w:p w14:paraId="446C8684">
      <w:pPr>
        <w:pStyle w:val="35"/>
        <w:numPr>
          <w:ilvl w:val="1"/>
          <w:numId w:val="0"/>
        </w:numPr>
        <w:spacing w:before="60" w:after="60" w:line="360" w:lineRule="auto"/>
        <w:ind w:firstLine="480" w:firstLineChars="200"/>
        <w:rPr>
          <w:rFonts w:hint="eastAsia" w:ascii="宋体" w:hAnsi="宋体"/>
          <w:sz w:val="24"/>
        </w:rPr>
      </w:pPr>
      <w:r>
        <w:rPr>
          <w:rFonts w:hint="eastAsia" w:ascii="宋体" w:hAnsi="宋体"/>
          <w:sz w:val="24"/>
        </w:rPr>
        <w:t>8.5供货范围内的设备质量在保证期内，投标方将无偿处理供货设备的技术或质量问题。投标方设计和制造质量的问题，由投标方无偿修理或更换零部件，保证正常运行。</w:t>
      </w:r>
    </w:p>
    <w:p w14:paraId="12713D37">
      <w:pPr>
        <w:pStyle w:val="35"/>
        <w:numPr>
          <w:ilvl w:val="1"/>
          <w:numId w:val="0"/>
        </w:numPr>
        <w:spacing w:before="60" w:after="60" w:line="360" w:lineRule="auto"/>
        <w:ind w:firstLine="480" w:firstLineChars="200"/>
        <w:rPr>
          <w:rFonts w:hint="eastAsia" w:ascii="宋体" w:hAnsi="宋体"/>
          <w:sz w:val="24"/>
        </w:rPr>
      </w:pPr>
      <w:r>
        <w:rPr>
          <w:rFonts w:hint="eastAsia" w:ascii="宋体" w:hAnsi="宋体"/>
          <w:sz w:val="24"/>
        </w:rPr>
        <w:t>8.6在质量保证期满后，投标方有义务配合招标方进行设备的检修与维护指导，以做到在设备使用的整个期间内安全运行。</w:t>
      </w:r>
    </w:p>
    <w:p w14:paraId="1D46107E">
      <w:pPr>
        <w:pStyle w:val="35"/>
        <w:numPr>
          <w:ilvl w:val="1"/>
          <w:numId w:val="0"/>
        </w:numPr>
        <w:spacing w:before="60" w:after="60" w:line="360" w:lineRule="auto"/>
        <w:ind w:firstLine="480" w:firstLineChars="200"/>
        <w:rPr>
          <w:rFonts w:hint="eastAsia" w:ascii="宋体" w:hAnsi="宋体"/>
          <w:sz w:val="24"/>
        </w:rPr>
      </w:pPr>
      <w:r>
        <w:rPr>
          <w:rFonts w:hint="eastAsia" w:ascii="宋体" w:hAnsi="宋体"/>
          <w:sz w:val="24"/>
        </w:rPr>
        <w:t>8.7培训服务</w:t>
      </w:r>
    </w:p>
    <w:p w14:paraId="23F37D61">
      <w:pPr>
        <w:pStyle w:val="35"/>
        <w:numPr>
          <w:ilvl w:val="1"/>
          <w:numId w:val="0"/>
        </w:numPr>
        <w:spacing w:before="60" w:after="60" w:line="360" w:lineRule="auto"/>
        <w:ind w:firstLine="480" w:firstLineChars="200"/>
        <w:rPr>
          <w:rFonts w:hint="eastAsia" w:ascii="宋体" w:hAnsi="宋体"/>
          <w:sz w:val="24"/>
        </w:rPr>
      </w:pPr>
      <w:r>
        <w:rPr>
          <w:rFonts w:hint="eastAsia" w:ascii="宋体" w:hAnsi="宋体"/>
          <w:sz w:val="24"/>
        </w:rPr>
        <w:t>投标方对所供设备提供全生命周期的服务，按合同规定进行产品制造、安装调试指导、验收、取证（如有）期间的技术服务项目。合同中所供设备在招标方现场安装调试期间，投标方将依据现场安装调试的进度安排，委派有经验的专业人员进行技术服务，提高工作效率，缩短工期。指导招标方技术人员监督和检验设备的制造、安装的质量以及设备的性能试验。</w:t>
      </w:r>
    </w:p>
    <w:p w14:paraId="4F1DB047">
      <w:pPr>
        <w:pStyle w:val="35"/>
        <w:numPr>
          <w:ilvl w:val="1"/>
          <w:numId w:val="0"/>
        </w:numPr>
        <w:spacing w:before="60" w:after="60" w:line="360" w:lineRule="auto"/>
        <w:ind w:firstLine="480" w:firstLineChars="200"/>
        <w:rPr>
          <w:rFonts w:hint="eastAsia" w:ascii="宋体" w:hAnsi="宋体"/>
          <w:sz w:val="24"/>
        </w:rPr>
      </w:pPr>
      <w:r>
        <w:rPr>
          <w:rFonts w:hint="eastAsia" w:ascii="宋体" w:hAnsi="宋体"/>
          <w:sz w:val="24"/>
        </w:rPr>
        <w:t>在安装调试期间，投标方委派有经验的工程师、技师对业主方人员进行培训。</w:t>
      </w:r>
    </w:p>
    <w:p w14:paraId="41007CEB">
      <w:pPr>
        <w:pStyle w:val="35"/>
        <w:numPr>
          <w:ilvl w:val="1"/>
          <w:numId w:val="0"/>
        </w:numPr>
        <w:spacing w:before="60" w:after="60" w:line="360" w:lineRule="auto"/>
        <w:ind w:firstLine="480" w:firstLineChars="200"/>
        <w:rPr>
          <w:rFonts w:hint="eastAsia" w:ascii="宋体" w:hAnsi="宋体"/>
          <w:sz w:val="24"/>
        </w:rPr>
      </w:pPr>
      <w:r>
        <w:rPr>
          <w:rFonts w:hint="eastAsia" w:ascii="宋体" w:hAnsi="宋体"/>
          <w:sz w:val="24"/>
        </w:rPr>
        <w:t>8.8投标方培训后招标主或业主方方人员能独立做到以下几点：</w:t>
      </w:r>
    </w:p>
    <w:p w14:paraId="4AC51724">
      <w:pPr>
        <w:pStyle w:val="35"/>
        <w:numPr>
          <w:ilvl w:val="1"/>
          <w:numId w:val="0"/>
        </w:numPr>
        <w:spacing w:before="60" w:after="60" w:line="360" w:lineRule="auto"/>
        <w:ind w:firstLine="480" w:firstLineChars="200"/>
        <w:rPr>
          <w:rFonts w:hint="eastAsia" w:ascii="宋体" w:hAnsi="宋体"/>
          <w:sz w:val="24"/>
        </w:rPr>
      </w:pPr>
      <w:r>
        <w:rPr>
          <w:rFonts w:hint="eastAsia" w:ascii="宋体" w:hAnsi="宋体"/>
          <w:sz w:val="24"/>
        </w:rPr>
        <w:t>熟悉和掌握合同设备结构、原理、性能，能独立判断设备故障点及形成原因，并能组织处理。</w:t>
      </w:r>
    </w:p>
    <w:p w14:paraId="06159CC5">
      <w:pPr>
        <w:pStyle w:val="35"/>
        <w:numPr>
          <w:ilvl w:val="1"/>
          <w:numId w:val="0"/>
        </w:numPr>
        <w:spacing w:before="60" w:after="60" w:line="360" w:lineRule="auto"/>
        <w:ind w:firstLine="480" w:firstLineChars="200"/>
        <w:rPr>
          <w:rFonts w:hint="eastAsia" w:ascii="宋体" w:hAnsi="宋体"/>
          <w:sz w:val="24"/>
        </w:rPr>
      </w:pPr>
      <w:r>
        <w:rPr>
          <w:rFonts w:hint="eastAsia" w:ascii="宋体" w:hAnsi="宋体"/>
          <w:sz w:val="24"/>
        </w:rPr>
        <w:t>熟悉并独立担当区域内本设备专业点检作业，能独立指导岗位操作人员正确使用设备和岗位操作点检。</w:t>
      </w:r>
    </w:p>
    <w:p w14:paraId="062BD922">
      <w:pPr>
        <w:pStyle w:val="35"/>
        <w:numPr>
          <w:ilvl w:val="1"/>
          <w:numId w:val="0"/>
        </w:numPr>
        <w:spacing w:before="60" w:after="60" w:line="360" w:lineRule="auto"/>
        <w:ind w:firstLine="480" w:firstLineChars="200"/>
        <w:rPr>
          <w:rFonts w:hint="eastAsia" w:ascii="宋体" w:hAnsi="宋体"/>
          <w:sz w:val="24"/>
        </w:rPr>
      </w:pPr>
      <w:r>
        <w:rPr>
          <w:rFonts w:hint="eastAsia" w:ascii="宋体" w:hAnsi="宋体"/>
          <w:sz w:val="24"/>
        </w:rPr>
        <w:t>熟知本设备的使用、维护、检修规程和安全规范，能指导设备检修人员作业并试车、验收。</w:t>
      </w:r>
    </w:p>
    <w:p w14:paraId="5B359D3B">
      <w:pPr>
        <w:pStyle w:val="35"/>
        <w:numPr>
          <w:ilvl w:val="1"/>
          <w:numId w:val="0"/>
        </w:numPr>
        <w:spacing w:before="60" w:after="60" w:line="360" w:lineRule="auto"/>
        <w:ind w:firstLine="480" w:firstLineChars="200"/>
        <w:rPr>
          <w:rFonts w:hint="eastAsia" w:ascii="宋体" w:hAnsi="宋体"/>
          <w:sz w:val="24"/>
        </w:rPr>
      </w:pPr>
      <w:r>
        <w:rPr>
          <w:rFonts w:hint="eastAsia" w:ascii="宋体" w:hAnsi="宋体"/>
          <w:sz w:val="24"/>
        </w:rPr>
        <w:t>8.9设备投入运行后，投标方承诺提供长期的技术支持。</w:t>
      </w:r>
    </w:p>
    <w:p w14:paraId="32DDBCE5">
      <w:pPr>
        <w:pStyle w:val="35"/>
        <w:numPr>
          <w:ilvl w:val="1"/>
          <w:numId w:val="0"/>
        </w:numPr>
        <w:spacing w:before="60" w:after="60" w:line="360" w:lineRule="auto"/>
        <w:ind w:firstLine="480" w:firstLineChars="200"/>
        <w:rPr>
          <w:rFonts w:hint="eastAsia" w:ascii="宋体" w:hAnsi="宋体"/>
          <w:sz w:val="24"/>
        </w:rPr>
      </w:pPr>
      <w:r>
        <w:rPr>
          <w:rFonts w:hint="eastAsia" w:ascii="宋体" w:hAnsi="宋体"/>
          <w:sz w:val="24"/>
        </w:rPr>
        <w:t>8.10投标方对招标方发现设备质量问题的来电或来函，做出承诺：保证24小时内给予答复，48小时内赶赴现场解决问题。</w:t>
      </w:r>
    </w:p>
    <w:p w14:paraId="7FA47C92">
      <w:pPr>
        <w:pStyle w:val="2"/>
        <w:spacing w:before="156" w:beforeLines="50" w:after="156" w:afterLines="50" w:line="360" w:lineRule="auto"/>
        <w:ind w:left="369" w:hanging="369"/>
        <w:rPr>
          <w:rFonts w:ascii="Times New Roman" w:hAnsi="Times New Roman" w:eastAsia="宋体" w:cs="宋体"/>
          <w:b/>
          <w:color w:val="EE0000"/>
          <w:sz w:val="28"/>
          <w:szCs w:val="28"/>
        </w:rPr>
      </w:pPr>
      <w:bookmarkStart w:id="7" w:name="_Toc11389"/>
      <w:r>
        <w:rPr>
          <w:rFonts w:hint="eastAsia" w:ascii="Times New Roman" w:hAnsi="Times New Roman" w:eastAsia="宋体" w:cs="宋体"/>
          <w:b/>
          <w:color w:val="EE0000"/>
          <w:sz w:val="28"/>
          <w:szCs w:val="28"/>
        </w:rPr>
        <w:t>9.资料交付与确认</w:t>
      </w:r>
      <w:bookmarkEnd w:id="7"/>
    </w:p>
    <w:p w14:paraId="644BF602">
      <w:pPr>
        <w:pStyle w:val="35"/>
        <w:numPr>
          <w:ilvl w:val="1"/>
          <w:numId w:val="0"/>
        </w:numPr>
        <w:spacing w:before="60" w:after="60" w:line="360" w:lineRule="auto"/>
        <w:ind w:firstLine="480" w:firstLineChars="200"/>
        <w:rPr>
          <w:rFonts w:hint="eastAsia" w:ascii="宋体" w:hAnsi="宋体"/>
          <w:color w:val="EE0000"/>
          <w:sz w:val="24"/>
        </w:rPr>
      </w:pPr>
      <w:r>
        <w:rPr>
          <w:rFonts w:hint="eastAsia" w:ascii="宋体" w:hAnsi="宋体"/>
          <w:color w:val="EE0000"/>
          <w:sz w:val="24"/>
        </w:rPr>
        <w:t>9.1技术协议签订后的3天内，投标方提供以下资料书面资料：</w:t>
      </w:r>
    </w:p>
    <w:p w14:paraId="51298610">
      <w:pPr>
        <w:pStyle w:val="35"/>
        <w:numPr>
          <w:ilvl w:val="1"/>
          <w:numId w:val="0"/>
        </w:numPr>
        <w:spacing w:before="60" w:after="60" w:line="360" w:lineRule="auto"/>
        <w:ind w:firstLine="480" w:firstLineChars="200"/>
        <w:rPr>
          <w:rFonts w:hint="eastAsia" w:ascii="宋体" w:hAnsi="宋体"/>
          <w:color w:val="EE0000"/>
          <w:sz w:val="24"/>
        </w:rPr>
      </w:pPr>
      <w:r>
        <w:rPr>
          <w:rFonts w:hint="eastAsia" w:ascii="宋体" w:hAnsi="宋体"/>
          <w:color w:val="EE0000"/>
          <w:sz w:val="24"/>
        </w:rPr>
        <w:t>包含供货范围内全部内容的设备总装图，图纸应能清除表达合同设备的外形、接口等信息；</w:t>
      </w:r>
    </w:p>
    <w:p w14:paraId="4108FDC3">
      <w:pPr>
        <w:pStyle w:val="35"/>
        <w:numPr>
          <w:ilvl w:val="1"/>
          <w:numId w:val="0"/>
        </w:numPr>
        <w:spacing w:before="60" w:after="60" w:line="360" w:lineRule="auto"/>
        <w:ind w:firstLine="480" w:firstLineChars="200"/>
        <w:rPr>
          <w:rFonts w:hint="eastAsia" w:ascii="宋体" w:hAnsi="宋体"/>
          <w:color w:val="EE0000"/>
          <w:sz w:val="24"/>
        </w:rPr>
      </w:pPr>
      <w:r>
        <w:rPr>
          <w:rFonts w:hint="eastAsia" w:ascii="宋体" w:hAnsi="宋体"/>
          <w:color w:val="EE0000"/>
          <w:sz w:val="24"/>
        </w:rPr>
        <w:t>设备基础图；</w:t>
      </w:r>
    </w:p>
    <w:p w14:paraId="10FBF58A">
      <w:pPr>
        <w:pStyle w:val="35"/>
        <w:numPr>
          <w:ilvl w:val="1"/>
          <w:numId w:val="0"/>
        </w:numPr>
        <w:spacing w:before="60" w:after="60" w:line="360" w:lineRule="auto"/>
        <w:ind w:firstLine="480" w:firstLineChars="200"/>
        <w:rPr>
          <w:rFonts w:hint="eastAsia" w:ascii="宋体" w:hAnsi="宋体"/>
          <w:color w:val="EE0000"/>
          <w:sz w:val="24"/>
        </w:rPr>
      </w:pPr>
      <w:r>
        <w:rPr>
          <w:rFonts w:hint="eastAsia" w:ascii="宋体" w:hAnsi="宋体"/>
          <w:color w:val="EE0000"/>
          <w:sz w:val="24"/>
        </w:rPr>
        <w:t>能源介质需求资料；</w:t>
      </w:r>
    </w:p>
    <w:p w14:paraId="2D075E7D">
      <w:pPr>
        <w:pStyle w:val="35"/>
        <w:numPr>
          <w:ilvl w:val="1"/>
          <w:numId w:val="0"/>
        </w:numPr>
        <w:spacing w:before="60" w:after="60" w:line="360" w:lineRule="auto"/>
        <w:ind w:firstLine="480" w:firstLineChars="200"/>
        <w:rPr>
          <w:rFonts w:hint="eastAsia" w:ascii="宋体" w:hAnsi="宋体"/>
          <w:color w:val="EE0000"/>
          <w:sz w:val="24"/>
        </w:rPr>
      </w:pPr>
      <w:r>
        <w:rPr>
          <w:rFonts w:hint="eastAsia" w:ascii="宋体" w:hAnsi="宋体"/>
          <w:color w:val="EE0000"/>
          <w:sz w:val="24"/>
        </w:rPr>
        <w:t>电气原理图、接线图。</w:t>
      </w:r>
    </w:p>
    <w:p w14:paraId="0EC0B376">
      <w:pPr>
        <w:pStyle w:val="35"/>
        <w:numPr>
          <w:ilvl w:val="1"/>
          <w:numId w:val="0"/>
        </w:numPr>
        <w:spacing w:before="60" w:after="60" w:line="360" w:lineRule="auto"/>
        <w:ind w:firstLine="480" w:firstLineChars="200"/>
        <w:rPr>
          <w:rFonts w:hint="eastAsia" w:ascii="宋体" w:hAnsi="宋体"/>
          <w:color w:val="EE0000"/>
          <w:sz w:val="24"/>
        </w:rPr>
      </w:pPr>
      <w:r>
        <w:rPr>
          <w:rFonts w:hint="eastAsia" w:ascii="宋体" w:hAnsi="宋体"/>
          <w:color w:val="EE0000"/>
          <w:sz w:val="24"/>
        </w:rPr>
        <w:t>9.2以上资料待招标方确认后方可进行合同设备的生产制造。</w:t>
      </w:r>
    </w:p>
    <w:p w14:paraId="11B16560">
      <w:pPr>
        <w:pStyle w:val="35"/>
        <w:numPr>
          <w:ilvl w:val="1"/>
          <w:numId w:val="0"/>
        </w:numPr>
        <w:spacing w:before="60" w:after="60" w:line="360" w:lineRule="auto"/>
        <w:ind w:firstLine="480" w:firstLineChars="200"/>
        <w:rPr>
          <w:rFonts w:hint="eastAsia" w:ascii="宋体" w:hAnsi="宋体"/>
          <w:color w:val="EE0000"/>
          <w:sz w:val="24"/>
        </w:rPr>
      </w:pPr>
      <w:r>
        <w:rPr>
          <w:rFonts w:hint="eastAsia" w:ascii="宋体" w:hAnsi="宋体"/>
          <w:color w:val="EE0000"/>
          <w:sz w:val="24"/>
        </w:rPr>
        <w:t>9.3投标方在发货时向招标方提供以下资料：</w:t>
      </w:r>
    </w:p>
    <w:p w14:paraId="5D8ACD7E">
      <w:pPr>
        <w:pStyle w:val="35"/>
        <w:numPr>
          <w:ilvl w:val="1"/>
          <w:numId w:val="0"/>
        </w:numPr>
        <w:spacing w:before="60" w:after="60" w:line="360" w:lineRule="auto"/>
        <w:ind w:firstLine="480" w:firstLineChars="200"/>
        <w:rPr>
          <w:rFonts w:hint="eastAsia" w:ascii="宋体" w:hAnsi="宋体"/>
          <w:color w:val="EE0000"/>
          <w:sz w:val="24"/>
        </w:rPr>
      </w:pPr>
      <w:r>
        <w:rPr>
          <w:rFonts w:hint="eastAsia" w:ascii="宋体" w:hAnsi="宋体"/>
          <w:color w:val="EE0000"/>
          <w:sz w:val="24"/>
        </w:rPr>
        <w:t>1）设备安装图。</w:t>
      </w:r>
    </w:p>
    <w:p w14:paraId="30FA4EC4">
      <w:pPr>
        <w:pStyle w:val="35"/>
        <w:numPr>
          <w:ilvl w:val="1"/>
          <w:numId w:val="0"/>
        </w:numPr>
        <w:spacing w:before="60" w:after="60" w:line="360" w:lineRule="auto"/>
        <w:ind w:firstLine="480" w:firstLineChars="200"/>
        <w:rPr>
          <w:rFonts w:hint="eastAsia" w:ascii="宋体" w:hAnsi="宋体"/>
          <w:color w:val="EE0000"/>
          <w:sz w:val="24"/>
        </w:rPr>
      </w:pPr>
      <w:r>
        <w:rPr>
          <w:rFonts w:hint="eastAsia" w:ascii="宋体" w:hAnsi="宋体"/>
          <w:color w:val="EE0000"/>
          <w:sz w:val="24"/>
        </w:rPr>
        <w:t>装箱单、设备安装、运行使用、安全维护说明书；</w:t>
      </w:r>
    </w:p>
    <w:p w14:paraId="0DAC6F93">
      <w:pPr>
        <w:pStyle w:val="35"/>
        <w:numPr>
          <w:ilvl w:val="1"/>
          <w:numId w:val="0"/>
        </w:numPr>
        <w:spacing w:before="60" w:after="60" w:line="360" w:lineRule="auto"/>
        <w:ind w:firstLine="480" w:firstLineChars="200"/>
        <w:rPr>
          <w:rFonts w:hint="eastAsia" w:ascii="宋体" w:hAnsi="宋体"/>
          <w:color w:val="EE0000"/>
          <w:sz w:val="24"/>
        </w:rPr>
      </w:pPr>
      <w:r>
        <w:rPr>
          <w:rFonts w:hint="eastAsia" w:ascii="宋体" w:hAnsi="宋体"/>
          <w:color w:val="EE0000"/>
          <w:sz w:val="24"/>
        </w:rPr>
        <w:t>出厂检验报告、整机合格证、外购件合格证；</w:t>
      </w:r>
    </w:p>
    <w:p w14:paraId="2B4120FD">
      <w:pPr>
        <w:pStyle w:val="35"/>
        <w:numPr>
          <w:ilvl w:val="1"/>
          <w:numId w:val="0"/>
        </w:numPr>
        <w:spacing w:before="60" w:after="60" w:line="360" w:lineRule="auto"/>
        <w:ind w:firstLine="480" w:firstLineChars="200"/>
        <w:rPr>
          <w:rFonts w:hint="eastAsia" w:ascii="宋体" w:hAnsi="宋体"/>
          <w:color w:val="EE0000"/>
          <w:sz w:val="24"/>
        </w:rPr>
      </w:pPr>
      <w:r>
        <w:rPr>
          <w:rFonts w:hint="eastAsia" w:ascii="宋体" w:hAnsi="宋体"/>
          <w:color w:val="EE0000"/>
          <w:sz w:val="24"/>
        </w:rPr>
        <w:t>质量检验报告包括：产品质量文件，如材质、材质检验、精度检验、外形尺寸和力学性能检验、超声波探伤和表面磁粉探伤报告等的证明；</w:t>
      </w:r>
    </w:p>
    <w:p w14:paraId="7C9B416E">
      <w:pPr>
        <w:pStyle w:val="35"/>
        <w:numPr>
          <w:ilvl w:val="1"/>
          <w:numId w:val="0"/>
        </w:numPr>
        <w:spacing w:before="60" w:after="60" w:line="360" w:lineRule="auto"/>
        <w:ind w:firstLine="480" w:firstLineChars="200"/>
        <w:rPr>
          <w:rFonts w:hint="eastAsia" w:ascii="宋体" w:hAnsi="宋体"/>
          <w:color w:val="EE0000"/>
          <w:sz w:val="24"/>
        </w:rPr>
      </w:pPr>
      <w:r>
        <w:rPr>
          <w:rFonts w:hint="eastAsia" w:ascii="宋体" w:hAnsi="宋体"/>
          <w:color w:val="EE0000"/>
          <w:sz w:val="24"/>
        </w:rPr>
        <w:t>主要进口设备(如有)提供设备的原产地证明。</w:t>
      </w:r>
    </w:p>
    <w:p w14:paraId="6B2A09A7">
      <w:pPr>
        <w:pStyle w:val="35"/>
        <w:numPr>
          <w:ilvl w:val="1"/>
          <w:numId w:val="0"/>
        </w:numPr>
        <w:spacing w:before="60" w:after="60" w:line="360" w:lineRule="auto"/>
        <w:ind w:firstLine="480" w:firstLineChars="200"/>
        <w:rPr>
          <w:rFonts w:hint="eastAsia" w:ascii="宋体" w:hAnsi="宋体"/>
          <w:color w:val="EE0000"/>
          <w:sz w:val="24"/>
        </w:rPr>
      </w:pPr>
      <w:r>
        <w:rPr>
          <w:rFonts w:hint="eastAsia" w:ascii="宋体" w:hAnsi="宋体"/>
          <w:color w:val="EE0000"/>
          <w:sz w:val="24"/>
        </w:rPr>
        <w:t>注：所提供的图纸、资料必须是有效的。投标方保证所交付的技术资料清晰、完整和正确，并能满足招标方正确地进行安装、试车、考核、正常生产和设备维修等工作的需要。</w:t>
      </w:r>
    </w:p>
    <w:p w14:paraId="46C12CB3">
      <w:pPr>
        <w:pStyle w:val="35"/>
        <w:numPr>
          <w:ilvl w:val="1"/>
          <w:numId w:val="0"/>
        </w:numPr>
        <w:spacing w:before="60" w:after="60" w:line="360" w:lineRule="auto"/>
        <w:ind w:firstLine="480" w:firstLineChars="200"/>
        <w:rPr>
          <w:rFonts w:hint="eastAsia" w:ascii="宋体" w:hAnsi="宋体"/>
          <w:color w:val="EE0000"/>
          <w:sz w:val="24"/>
        </w:rPr>
      </w:pPr>
      <w:r>
        <w:rPr>
          <w:rFonts w:hint="eastAsia" w:ascii="宋体" w:hAnsi="宋体"/>
          <w:color w:val="EE0000"/>
          <w:sz w:val="24"/>
        </w:rPr>
        <w:t>以上提供的最终文件、资料如有更改，投标方应及时向招标方提供书面变更说明。</w:t>
      </w:r>
    </w:p>
    <w:p w14:paraId="7BDCB18E">
      <w:pPr>
        <w:pStyle w:val="35"/>
        <w:numPr>
          <w:ilvl w:val="1"/>
          <w:numId w:val="0"/>
        </w:numPr>
        <w:spacing w:before="60" w:after="60" w:line="360" w:lineRule="auto"/>
        <w:ind w:firstLine="480" w:firstLineChars="200"/>
        <w:rPr>
          <w:rFonts w:hint="eastAsia" w:ascii="宋体" w:hAnsi="宋体"/>
          <w:color w:val="EE0000"/>
          <w:sz w:val="24"/>
        </w:rPr>
      </w:pPr>
      <w:r>
        <w:rPr>
          <w:rFonts w:hint="eastAsia" w:ascii="宋体" w:hAnsi="宋体"/>
          <w:color w:val="EE0000"/>
          <w:sz w:val="24"/>
        </w:rPr>
        <w:t>9.4投标方需</w:t>
      </w:r>
      <w:r>
        <w:rPr>
          <w:rFonts w:hint="eastAsia" w:ascii="宋体" w:hAnsi="宋体" w:cs="宋体"/>
          <w:color w:val="EE0000"/>
          <w:sz w:val="24"/>
        </w:rPr>
        <w:t>提供易损件清单、备件清单(阀门、电机叶轮、轴承等内部易损件等国标件及报价)（需标明：厂家、型号等重要信息）</w:t>
      </w:r>
    </w:p>
    <w:p w14:paraId="5C948F51">
      <w:pPr>
        <w:pStyle w:val="2"/>
        <w:spacing w:before="156" w:beforeLines="50" w:after="156" w:afterLines="50" w:line="360" w:lineRule="auto"/>
        <w:ind w:left="369" w:hanging="369"/>
        <w:rPr>
          <w:rFonts w:ascii="Times New Roman" w:hAnsi="Times New Roman" w:eastAsia="宋体" w:cs="宋体"/>
          <w:b/>
          <w:color w:val="auto"/>
          <w:sz w:val="28"/>
          <w:szCs w:val="28"/>
        </w:rPr>
      </w:pPr>
      <w:bookmarkStart w:id="8" w:name="_Toc17611"/>
      <w:r>
        <w:rPr>
          <w:rFonts w:hint="eastAsia" w:ascii="Times New Roman" w:hAnsi="Times New Roman" w:eastAsia="宋体" w:cs="宋体"/>
          <w:b/>
          <w:color w:val="auto"/>
          <w:sz w:val="28"/>
          <w:szCs w:val="28"/>
        </w:rPr>
        <w:t>10.其他要求</w:t>
      </w:r>
      <w:bookmarkEnd w:id="8"/>
    </w:p>
    <w:p w14:paraId="4A4B04A5">
      <w:pPr>
        <w:pStyle w:val="35"/>
        <w:numPr>
          <w:ilvl w:val="1"/>
          <w:numId w:val="0"/>
        </w:numPr>
        <w:spacing w:before="60" w:after="60" w:line="360" w:lineRule="auto"/>
        <w:ind w:firstLine="480" w:firstLineChars="200"/>
        <w:rPr>
          <w:rFonts w:hint="eastAsia" w:ascii="宋体" w:hAnsi="宋体"/>
          <w:sz w:val="24"/>
        </w:rPr>
      </w:pPr>
      <w:r>
        <w:rPr>
          <w:rFonts w:hint="eastAsia" w:ascii="宋体" w:hAnsi="宋体"/>
          <w:sz w:val="24"/>
        </w:rPr>
        <w:t>10.1招标、投标双方相互之间的资料交接及需协商的有关事宜，均应以书面形式进行。</w:t>
      </w:r>
    </w:p>
    <w:p w14:paraId="3AFE0F33">
      <w:pPr>
        <w:pStyle w:val="35"/>
        <w:numPr>
          <w:ilvl w:val="1"/>
          <w:numId w:val="0"/>
        </w:numPr>
        <w:spacing w:before="60" w:after="60" w:line="360" w:lineRule="auto"/>
        <w:ind w:firstLine="480" w:firstLineChars="200"/>
        <w:rPr>
          <w:rFonts w:hint="eastAsia" w:ascii="宋体" w:hAnsi="宋体"/>
          <w:sz w:val="24"/>
        </w:rPr>
      </w:pPr>
      <w:r>
        <w:rPr>
          <w:rFonts w:hint="eastAsia" w:ascii="宋体" w:hAnsi="宋体"/>
          <w:sz w:val="24"/>
        </w:rPr>
        <w:t>10.2投标方保证按照招标投标双方商定的交货期按时交货，无故延期，投标方须赔偿因延期交货而给招标方造成的损失。</w:t>
      </w:r>
    </w:p>
    <w:p w14:paraId="3F99E886">
      <w:pPr>
        <w:pStyle w:val="35"/>
        <w:numPr>
          <w:ilvl w:val="1"/>
          <w:numId w:val="0"/>
        </w:numPr>
        <w:spacing w:before="60" w:after="60" w:line="360" w:lineRule="auto"/>
        <w:ind w:firstLine="480" w:firstLineChars="200"/>
        <w:rPr>
          <w:rFonts w:hint="eastAsia" w:ascii="宋体" w:hAnsi="宋体"/>
          <w:sz w:val="24"/>
        </w:rPr>
      </w:pPr>
      <w:r>
        <w:rPr>
          <w:rFonts w:hint="eastAsia" w:ascii="宋体" w:hAnsi="宋体"/>
          <w:sz w:val="24"/>
        </w:rPr>
        <w:t>10.3投标方严格按照合同协议有关条款合理安排设计、生产，保证设备保质、保量、如期交货，并对所提供的设备质量负责。</w:t>
      </w:r>
    </w:p>
    <w:p w14:paraId="0E7A4416">
      <w:pPr>
        <w:pStyle w:val="35"/>
        <w:numPr>
          <w:ilvl w:val="1"/>
          <w:numId w:val="0"/>
        </w:numPr>
        <w:spacing w:before="60" w:after="60" w:line="360" w:lineRule="auto"/>
        <w:ind w:firstLine="480" w:firstLineChars="200"/>
        <w:rPr>
          <w:rFonts w:hint="eastAsia" w:ascii="宋体" w:hAnsi="宋体"/>
          <w:sz w:val="24"/>
        </w:rPr>
      </w:pPr>
      <w:r>
        <w:rPr>
          <w:rFonts w:hint="eastAsia" w:ascii="宋体" w:hAnsi="宋体"/>
          <w:sz w:val="24"/>
        </w:rPr>
        <w:t>10.4未尽事宜，双方友好协商解决。</w:t>
      </w:r>
    </w:p>
    <w:p w14:paraId="0392A69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02"/>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Arial">
    <w:panose1 w:val="020B0604020202020204"/>
    <w:charset w:val="00"/>
    <w:family w:val="swiss"/>
    <w:pitch w:val="default"/>
    <w:sig w:usb0="E0002EFF" w:usb1="C000785B" w:usb2="00000009" w:usb3="00000000" w:csb0="400001FF" w:csb1="FFFF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73336DC"/>
    <w:multiLevelType w:val="multilevel"/>
    <w:tmpl w:val="773336DC"/>
    <w:lvl w:ilvl="0" w:tentative="0">
      <w:start w:val="1"/>
      <w:numFmt w:val="lowerLetter"/>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87D"/>
    <w:rsid w:val="0009582A"/>
    <w:rsid w:val="000B4161"/>
    <w:rsid w:val="001606EB"/>
    <w:rsid w:val="00181401"/>
    <w:rsid w:val="002C08E0"/>
    <w:rsid w:val="003D3045"/>
    <w:rsid w:val="0042687D"/>
    <w:rsid w:val="0045369F"/>
    <w:rsid w:val="005139A3"/>
    <w:rsid w:val="00544857"/>
    <w:rsid w:val="0055648F"/>
    <w:rsid w:val="005B3071"/>
    <w:rsid w:val="006E0263"/>
    <w:rsid w:val="00821ED1"/>
    <w:rsid w:val="009D0407"/>
    <w:rsid w:val="00B06B37"/>
    <w:rsid w:val="00CE7668"/>
    <w:rsid w:val="00CF76BA"/>
    <w:rsid w:val="00D5679D"/>
    <w:rsid w:val="00D74D3B"/>
    <w:rsid w:val="00D849F3"/>
    <w:rsid w:val="00DF443C"/>
    <w:rsid w:val="00E909B7"/>
    <w:rsid w:val="00EB5954"/>
    <w:rsid w:val="00EE392B"/>
    <w:rsid w:val="00EF2247"/>
    <w:rsid w:val="00F11DA4"/>
    <w:rsid w:val="00F21010"/>
    <w:rsid w:val="00F518F2"/>
    <w:rsid w:val="00F770EA"/>
    <w:rsid w:val="00FA5FC9"/>
    <w:rsid w:val="13D76209"/>
    <w:rsid w:val="140C08BF"/>
    <w:rsid w:val="1F8103A8"/>
    <w:rsid w:val="2C46226B"/>
    <w:rsid w:val="361E6007"/>
    <w:rsid w:val="4377548B"/>
    <w:rsid w:val="4806148B"/>
    <w:rsid w:val="50243DC2"/>
    <w:rsid w:val="52E16A43"/>
    <w:rsid w:val="540208BE"/>
    <w:rsid w:val="59F43024"/>
    <w:rsid w:val="5C33720F"/>
    <w:rsid w:val="61AC677C"/>
    <w:rsid w:val="6813679E"/>
    <w:rsid w:val="70F03058"/>
    <w:rsid w:val="74A83174"/>
    <w:rsid w:val="7D9B25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2"/>
    <w:qFormat/>
    <w:uiPriority w:val="0"/>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3"/>
    <w:unhideWhenUsed/>
    <w:qFormat/>
    <w:uiPriority w:val="0"/>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4"/>
    <w:unhideWhenUsed/>
    <w:qFormat/>
    <w:uiPriority w:val="0"/>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5"/>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6"/>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27"/>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28"/>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9"/>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0"/>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9">
    <w:name w:val="Default Paragraph Font"/>
    <w:semiHidden/>
    <w:unhideWhenUsed/>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qFormat/>
    <w:uiPriority w:val="0"/>
    <w:pPr>
      <w:ind w:firstLine="420"/>
    </w:pPr>
  </w:style>
  <w:style w:type="paragraph" w:styleId="12">
    <w:name w:val="footer"/>
    <w:basedOn w:val="1"/>
    <w:link w:val="41"/>
    <w:unhideWhenUsed/>
    <w:qFormat/>
    <w:uiPriority w:val="99"/>
    <w:pPr>
      <w:tabs>
        <w:tab w:val="center" w:pos="4153"/>
        <w:tab w:val="right" w:pos="8306"/>
      </w:tabs>
      <w:snapToGrid w:val="0"/>
    </w:pPr>
    <w:rPr>
      <w:sz w:val="18"/>
      <w:szCs w:val="18"/>
    </w:rPr>
  </w:style>
  <w:style w:type="paragraph" w:styleId="13">
    <w:name w:val="header"/>
    <w:basedOn w:val="1"/>
    <w:link w:val="40"/>
    <w:unhideWhenUsed/>
    <w:qFormat/>
    <w:uiPriority w:val="99"/>
    <w:pPr>
      <w:tabs>
        <w:tab w:val="center" w:pos="4153"/>
        <w:tab w:val="right" w:pos="8306"/>
      </w:tabs>
      <w:snapToGrid w:val="0"/>
      <w:jc w:val="center"/>
    </w:pPr>
    <w:rPr>
      <w:sz w:val="18"/>
      <w:szCs w:val="18"/>
    </w:rPr>
  </w:style>
  <w:style w:type="paragraph" w:styleId="14">
    <w:name w:val="Subtitle"/>
    <w:basedOn w:val="1"/>
    <w:next w:val="1"/>
    <w:link w:val="32"/>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5">
    <w:name w:val="Normal (Web)"/>
    <w:basedOn w:val="1"/>
    <w:semiHidden/>
    <w:unhideWhenUsed/>
    <w:qFormat/>
    <w:uiPriority w:val="99"/>
    <w:rPr>
      <w:sz w:val="24"/>
    </w:rPr>
  </w:style>
  <w:style w:type="paragraph" w:styleId="16">
    <w:name w:val="Title"/>
    <w:basedOn w:val="1"/>
    <w:next w:val="1"/>
    <w:link w:val="31"/>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18">
    <w:name w:val="Table Grid"/>
    <w:basedOn w:val="1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basedOn w:val="19"/>
    <w:qFormat/>
    <w:uiPriority w:val="22"/>
    <w:rPr>
      <w:b/>
    </w:rPr>
  </w:style>
  <w:style w:type="character" w:styleId="21">
    <w:name w:val="Hyperlink"/>
    <w:qFormat/>
    <w:uiPriority w:val="99"/>
    <w:rPr>
      <w:color w:val="0000FF"/>
      <w:u w:val="single"/>
    </w:rPr>
  </w:style>
  <w:style w:type="character" w:customStyle="1" w:styleId="22">
    <w:name w:val="标题 1 字符"/>
    <w:basedOn w:val="19"/>
    <w:link w:val="2"/>
    <w:qFormat/>
    <w:uiPriority w:val="9"/>
    <w:rPr>
      <w:rFonts w:asciiTheme="majorHAnsi" w:hAnsiTheme="majorHAnsi" w:eastAsiaTheme="majorEastAsia" w:cstheme="majorBidi"/>
      <w:color w:val="104862" w:themeColor="accent1" w:themeShade="BF"/>
      <w:sz w:val="48"/>
      <w:szCs w:val="48"/>
    </w:rPr>
  </w:style>
  <w:style w:type="character" w:customStyle="1" w:styleId="23">
    <w:name w:val="标题 2 字符"/>
    <w:basedOn w:val="19"/>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4">
    <w:name w:val="标题 3 字符"/>
    <w:basedOn w:val="19"/>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5">
    <w:name w:val="标题 4 字符"/>
    <w:basedOn w:val="19"/>
    <w:link w:val="5"/>
    <w:semiHidden/>
    <w:qFormat/>
    <w:uiPriority w:val="9"/>
    <w:rPr>
      <w:rFonts w:cstheme="majorBidi"/>
      <w:color w:val="104862" w:themeColor="accent1" w:themeShade="BF"/>
      <w:sz w:val="28"/>
      <w:szCs w:val="28"/>
    </w:rPr>
  </w:style>
  <w:style w:type="character" w:customStyle="1" w:styleId="26">
    <w:name w:val="标题 5 字符"/>
    <w:basedOn w:val="19"/>
    <w:link w:val="6"/>
    <w:semiHidden/>
    <w:qFormat/>
    <w:uiPriority w:val="9"/>
    <w:rPr>
      <w:rFonts w:cstheme="majorBidi"/>
      <w:color w:val="104862" w:themeColor="accent1" w:themeShade="BF"/>
      <w:sz w:val="24"/>
    </w:rPr>
  </w:style>
  <w:style w:type="character" w:customStyle="1" w:styleId="27">
    <w:name w:val="标题 6 字符"/>
    <w:basedOn w:val="19"/>
    <w:link w:val="7"/>
    <w:semiHidden/>
    <w:qFormat/>
    <w:uiPriority w:val="9"/>
    <w:rPr>
      <w:rFonts w:cstheme="majorBidi"/>
      <w:b/>
      <w:bCs/>
      <w:color w:val="104862" w:themeColor="accent1" w:themeShade="BF"/>
    </w:rPr>
  </w:style>
  <w:style w:type="character" w:customStyle="1" w:styleId="28">
    <w:name w:val="标题 7 字符"/>
    <w:basedOn w:val="19"/>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9">
    <w:name w:val="标题 8 字符"/>
    <w:basedOn w:val="19"/>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0">
    <w:name w:val="标题 9 字符"/>
    <w:basedOn w:val="19"/>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1">
    <w:name w:val="标题 字符"/>
    <w:basedOn w:val="19"/>
    <w:link w:val="16"/>
    <w:qFormat/>
    <w:uiPriority w:val="10"/>
    <w:rPr>
      <w:rFonts w:asciiTheme="majorHAnsi" w:hAnsiTheme="majorHAnsi" w:eastAsiaTheme="majorEastAsia" w:cstheme="majorBidi"/>
      <w:spacing w:val="-10"/>
      <w:kern w:val="28"/>
      <w:sz w:val="56"/>
      <w:szCs w:val="56"/>
    </w:rPr>
  </w:style>
  <w:style w:type="character" w:customStyle="1" w:styleId="32">
    <w:name w:val="副标题 字符"/>
    <w:basedOn w:val="19"/>
    <w:link w:val="14"/>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3">
    <w:name w:val="Quote"/>
    <w:basedOn w:val="1"/>
    <w:next w:val="1"/>
    <w:link w:val="34"/>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4">
    <w:name w:val="引用 字符"/>
    <w:basedOn w:val="19"/>
    <w:link w:val="33"/>
    <w:qFormat/>
    <w:uiPriority w:val="29"/>
    <w:rPr>
      <w:i/>
      <w:iCs/>
      <w:color w:val="404040" w:themeColor="text1" w:themeTint="BF"/>
      <w14:textFill>
        <w14:solidFill>
          <w14:schemeClr w14:val="tx1">
            <w14:lumMod w14:val="75000"/>
            <w14:lumOff w14:val="25000"/>
          </w14:schemeClr>
        </w14:solidFill>
      </w14:textFill>
    </w:rPr>
  </w:style>
  <w:style w:type="paragraph" w:styleId="35">
    <w:name w:val="List Paragraph"/>
    <w:basedOn w:val="1"/>
    <w:qFormat/>
    <w:uiPriority w:val="34"/>
    <w:pPr>
      <w:ind w:left="720"/>
      <w:contextualSpacing/>
    </w:pPr>
  </w:style>
  <w:style w:type="character" w:customStyle="1" w:styleId="36">
    <w:name w:val="明显强调1"/>
    <w:basedOn w:val="19"/>
    <w:qFormat/>
    <w:uiPriority w:val="21"/>
    <w:rPr>
      <w:i/>
      <w:iCs/>
      <w:color w:val="104862" w:themeColor="accent1" w:themeShade="BF"/>
    </w:rPr>
  </w:style>
  <w:style w:type="paragraph" w:styleId="37">
    <w:name w:val="Intense Quote"/>
    <w:basedOn w:val="1"/>
    <w:next w:val="1"/>
    <w:link w:val="38"/>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8">
    <w:name w:val="明显引用 字符"/>
    <w:basedOn w:val="19"/>
    <w:link w:val="37"/>
    <w:qFormat/>
    <w:uiPriority w:val="30"/>
    <w:rPr>
      <w:i/>
      <w:iCs/>
      <w:color w:val="104862" w:themeColor="accent1" w:themeShade="BF"/>
    </w:rPr>
  </w:style>
  <w:style w:type="character" w:customStyle="1" w:styleId="39">
    <w:name w:val="明显参考1"/>
    <w:basedOn w:val="19"/>
    <w:qFormat/>
    <w:uiPriority w:val="32"/>
    <w:rPr>
      <w:b/>
      <w:bCs/>
      <w:smallCaps/>
      <w:color w:val="104862" w:themeColor="accent1" w:themeShade="BF"/>
      <w:spacing w:val="5"/>
    </w:rPr>
  </w:style>
  <w:style w:type="character" w:customStyle="1" w:styleId="40">
    <w:name w:val="页眉 字符"/>
    <w:basedOn w:val="19"/>
    <w:link w:val="13"/>
    <w:qFormat/>
    <w:uiPriority w:val="99"/>
    <w:rPr>
      <w:sz w:val="18"/>
      <w:szCs w:val="18"/>
    </w:rPr>
  </w:style>
  <w:style w:type="character" w:customStyle="1" w:styleId="41">
    <w:name w:val="页脚 字符"/>
    <w:basedOn w:val="19"/>
    <w:link w:val="12"/>
    <w:qFormat/>
    <w:uiPriority w:val="99"/>
    <w:rPr>
      <w:sz w:val="18"/>
      <w:szCs w:val="18"/>
    </w:rPr>
  </w:style>
  <w:style w:type="paragraph" w:customStyle="1" w:styleId="42">
    <w:name w:val="正文1"/>
    <w:basedOn w:val="1"/>
    <w:autoRedefine/>
    <w:qFormat/>
    <w:uiPriority w:val="0"/>
    <w:pPr>
      <w:adjustRightInd w:val="0"/>
      <w:ind w:firstLine="480" w:firstLineChars="200"/>
      <w:jc w:val="left"/>
      <w:textAlignment w:val="baseline"/>
    </w:pPr>
    <w:rPr>
      <w:rFonts w:ascii="微软雅黑" w:hAnsi="微软雅黑" w:eastAsia="微软雅黑" w:cs="Arial"/>
      <w:bCs/>
      <w:kern w:val="44"/>
      <w:sz w:val="24"/>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EEACA"/>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9</Pages>
  <Words>5362</Words>
  <Characters>5649</Characters>
  <Lines>296</Lines>
  <Paragraphs>230</Paragraphs>
  <TotalTime>0</TotalTime>
  <ScaleCrop>false</ScaleCrop>
  <LinksUpToDate>false</LinksUpToDate>
  <CharactersWithSpaces>5661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2026-03-26T08:04:00Z</dcterms:created>
  <dc:creator>A4094</dc:creator>
  <cp:lastModifiedBy>樊樊</cp:lastModifiedBy>
  <dcterms:modified xsi:type="dcterms:W3CDTF">2026-06-18T07:32:39Z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2975086DD10E4D3D92E4D535D55DC073_13</vt:lpwstr>
  </property>
  <property fmtid="{D5CDD505-2E9C-101B-9397-08002B2CF9AE}" pid="4" name="KSOTemplateDocerSaveRecord">
    <vt:lpwstr>eyJoZGlkIjoiMDAyNDA4OTE5YTVhZmNkZWMzN2VlZTY4MThhYWJiMDUiLCJ1c2VySWQiOiI0NDIzMjU4NzQifQ==</vt:lpwstr>
  </property>
</Properties>
</file>