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9805E5">
      <w:pPr>
        <w:spacing w:after="312" w:afterLines="100" w:line="440" w:lineRule="exact"/>
        <w:jc w:val="center"/>
        <w:rPr>
          <w:rFonts w:ascii="Times New Roman" w:hAnsi="Times New Roman" w:eastAsia="宋体" w:cs="Times New Roman"/>
          <w:b/>
          <w:bCs/>
          <w:sz w:val="30"/>
          <w:szCs w:val="30"/>
        </w:rPr>
      </w:pPr>
      <w:r>
        <w:rPr>
          <w:rFonts w:hint="eastAsia" w:ascii="Times New Roman" w:hAnsi="Times New Roman" w:eastAsia="宋体" w:cs="Times New Roman"/>
          <w:b/>
          <w:bCs/>
          <w:sz w:val="30"/>
          <w:szCs w:val="30"/>
        </w:rPr>
        <w:t>中南大学平移门脉动真空灭菌器采购项目商务要求</w:t>
      </w:r>
    </w:p>
    <w:p w14:paraId="264014D1">
      <w:pPr>
        <w:pStyle w:val="12"/>
        <w:widowControl/>
        <w:spacing w:line="360" w:lineRule="auto"/>
        <w:rPr>
          <w:rFonts w:hint="eastAsia" w:ascii="仿宋" w:hAnsi="仿宋" w:eastAsia="仿宋" w:cs="仿宋"/>
          <w:sz w:val="24"/>
        </w:rPr>
      </w:pPr>
      <w:r>
        <w:rPr>
          <w:rFonts w:hint="eastAsia" w:ascii="仿宋" w:hAnsi="仿宋" w:eastAsia="仿宋" w:cs="仿宋"/>
          <w:sz w:val="24"/>
        </w:rPr>
        <w:t>一、商务要求</w:t>
      </w:r>
    </w:p>
    <w:p w14:paraId="0CD6D05C">
      <w:pPr>
        <w:numPr>
          <w:ilvl w:val="0"/>
          <w:numId w:val="1"/>
        </w:numPr>
        <w:spacing w:line="360" w:lineRule="auto"/>
        <w:ind w:firstLine="482" w:firstLineChars="200"/>
        <w:jc w:val="left"/>
        <w:rPr>
          <w:rFonts w:hint="eastAsia" w:ascii="仿宋" w:hAnsi="仿宋" w:eastAsia="仿宋" w:cs="仿宋"/>
          <w:sz w:val="24"/>
        </w:rPr>
      </w:pPr>
      <w:r>
        <w:rPr>
          <w:rFonts w:hint="eastAsia" w:ascii="仿宋" w:hAnsi="仿宋" w:eastAsia="仿宋" w:cs="仿宋"/>
          <w:b/>
          <w:bCs/>
          <w:sz w:val="24"/>
        </w:rPr>
        <w:t>供货周期</w:t>
      </w:r>
      <w:r>
        <w:rPr>
          <w:rFonts w:hint="eastAsia" w:ascii="仿宋" w:hAnsi="仿宋" w:eastAsia="仿宋" w:cs="仿宋"/>
          <w:sz w:val="24"/>
        </w:rPr>
        <w:t>：合同签订后接采购人通知2个月内交货、安装、调试。</w:t>
      </w:r>
    </w:p>
    <w:p w14:paraId="2804113F">
      <w:pPr>
        <w:numPr>
          <w:ilvl w:val="0"/>
          <w:numId w:val="1"/>
        </w:numPr>
        <w:spacing w:line="360" w:lineRule="auto"/>
        <w:ind w:firstLine="482" w:firstLineChars="200"/>
        <w:jc w:val="left"/>
        <w:rPr>
          <w:rFonts w:hint="eastAsia" w:ascii="仿宋" w:hAnsi="仿宋" w:eastAsia="仿宋" w:cs="仿宋"/>
          <w:sz w:val="24"/>
        </w:rPr>
      </w:pPr>
      <w:r>
        <w:rPr>
          <w:rFonts w:hint="eastAsia" w:ascii="仿宋" w:hAnsi="仿宋" w:eastAsia="仿宋" w:cs="仿宋"/>
          <w:b/>
          <w:bCs/>
          <w:sz w:val="24"/>
        </w:rPr>
        <w:t>供货地点</w:t>
      </w:r>
      <w:r>
        <w:rPr>
          <w:rFonts w:hint="eastAsia" w:ascii="仿宋" w:hAnsi="仿宋" w:eastAsia="仿宋" w:cs="仿宋"/>
          <w:sz w:val="24"/>
        </w:rPr>
        <w:t>：中南大学</w:t>
      </w:r>
    </w:p>
    <w:p w14:paraId="3F165DBA">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b/>
          <w:bCs/>
          <w:sz w:val="24"/>
        </w:rPr>
        <w:t>质保期：</w:t>
      </w:r>
    </w:p>
    <w:p w14:paraId="278456C2">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3.1、整机（所有部件）保修5年（包含压力表的定期检定、安全阀定期检验和特种设备年检、定期检验并承担检验检定费用），质保期自最终验收交付使用合格次日起计算，并提供相关承诺书，须提供原厂维保服务。质保期内发生任何设备损坏，所需要的维修费用（包括零部件费用、所有维修费用）均由中标人承担（人为操作不当造成的损坏除外）。中标人不能修复、调换或不能退货的，应向采购人退回相应货款，并承担相应的违约责任。保修期内，免费提供所需耗材和用品，同时如果任何零配件损坏，中标人免费更换和安装一个设备原厂的相关配件；对于同一部位出现2次以上故障，中标人应当免费更换该部件。</w:t>
      </w:r>
    </w:p>
    <w:p w14:paraId="3CE79389">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4、履约保证金：5%</w:t>
      </w:r>
    </w:p>
    <w:p w14:paraId="1B13CDB5">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b/>
          <w:bCs/>
          <w:sz w:val="24"/>
        </w:rPr>
        <w:t>付款周期及比例</w:t>
      </w:r>
      <w:r>
        <w:rPr>
          <w:rFonts w:hint="eastAsia" w:ascii="仿宋" w:hAnsi="仿宋" w:eastAsia="仿宋" w:cs="仿宋"/>
          <w:sz w:val="24"/>
        </w:rPr>
        <w:t>：</w:t>
      </w:r>
    </w:p>
    <w:p w14:paraId="150A1296">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付款方式：合同签订后7个工作日内，甲方支付合同金额30%作预付款；货到甲方指定地点并经验收合格后5个工作日内，乙方应向甲方账户缴纳合同金额5%作履约保证金后，甲方凭借乙方开具的增值税专用发票，向乙方支付70%货款。履约保证金</w:t>
      </w:r>
      <w:r>
        <w:rPr>
          <w:rFonts w:hint="eastAsia" w:ascii="仿宋" w:hAnsi="仿宋" w:eastAsia="仿宋" w:cs="仿宋"/>
          <w:szCs w:val="24"/>
        </w:rPr>
        <w:t>在验收合格之日起1年后退回，</w:t>
      </w:r>
      <w:r>
        <w:rPr>
          <w:rFonts w:hint="eastAsia" w:ascii="仿宋" w:hAnsi="仿宋" w:eastAsia="仿宋" w:cs="仿宋"/>
          <w:sz w:val="24"/>
        </w:rPr>
        <w:t>履约保证金</w:t>
      </w:r>
      <w:r>
        <w:rPr>
          <w:rFonts w:hint="eastAsia" w:ascii="仿宋" w:hAnsi="仿宋" w:eastAsia="仿宋" w:cs="仿宋"/>
          <w:szCs w:val="24"/>
        </w:rPr>
        <w:t>不计利息。</w:t>
      </w:r>
    </w:p>
    <w:p w14:paraId="62123C69">
      <w:pPr>
        <w:widowControl/>
        <w:spacing w:line="360" w:lineRule="auto"/>
        <w:rPr>
          <w:rFonts w:hint="eastAsia" w:ascii="仿宋" w:hAnsi="仿宋" w:eastAsia="仿宋" w:cs="仿宋"/>
          <w:sz w:val="24"/>
        </w:rPr>
      </w:pPr>
      <w:r>
        <w:rPr>
          <w:rFonts w:hint="eastAsia" w:ascii="仿宋" w:hAnsi="仿宋" w:eastAsia="仿宋" w:cs="仿宋"/>
          <w:sz w:val="24"/>
        </w:rPr>
        <w:t>二、服务要求</w:t>
      </w:r>
    </w:p>
    <w:p w14:paraId="70A46A39">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1.设备安装、调试和验收（在货物签收后执行）</w:t>
      </w:r>
    </w:p>
    <w:p w14:paraId="6E8C03FE">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1.1 中标人应在货物签收后立即内向采购人提供完整的技术方案和安装方案，技术方案包括设备的工作原理和主要组成结构等，安装方案包括主机和配件、水路和电路、排水和排气的安装方案等，并提供技术咨询和现场指导，若在上述过程中出现人身安全事故或其他事故，其责任由中标人承担。设备安装、调试的费用由中标人承担。</w:t>
      </w:r>
    </w:p>
    <w:p w14:paraId="0C8207B6">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1.2如果由于设备本身原因而在2个月内调试没有通过，可返厂维修，或更换一套全新的相同型号配置设备。</w:t>
      </w:r>
    </w:p>
    <w:p w14:paraId="736E7BE6">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1.3返厂维修周期不得超过2个月，次数不得超过2次，否则必须更换一套全新的相同型号配置或符合技术性能要求的设备。采购人认定的特殊设备可延长调试时间。</w:t>
      </w:r>
    </w:p>
    <w:p w14:paraId="70941BE4">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2.技术培训</w:t>
      </w:r>
    </w:p>
    <w:p w14:paraId="7CFEE50C">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2.1设备安装调试完成后，中标人应对采购方技术人员进行调试、操作、设备维护、故障排除等方面的免费现场培训。</w:t>
      </w:r>
    </w:p>
    <w:p w14:paraId="59A5FADD">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2.2初级培训：设备安装调试完，验收前，中标人工程师在现场就设备的维护、基本操作、日常保养、潜在故障分析等各方面提供2人以上免费初步培训，培训周期不少于5天。</w:t>
      </w:r>
    </w:p>
    <w:p w14:paraId="4F95D3B7">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2.3应用培训：在初级培训结束后，待采购人使用一段时间，中标人派遣专门的应用工程师到客户现场进行高级应用培训。2人以上免费培训时间不少于5天，具体培训内容与日期由双方协商确定。培训应保证操作人员能够正确操作设备，熟练地运用设备的各种功能，能够懂得如何进行日常的保养，能够处理一些常见的简单故障。</w:t>
      </w:r>
    </w:p>
    <w:p w14:paraId="41E7EEBE">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3.保修期</w:t>
      </w:r>
    </w:p>
    <w:p w14:paraId="79BED200">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3.1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288B482E">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4.中标人提供终身维修服务</w:t>
      </w:r>
    </w:p>
    <w:p w14:paraId="025CE20F">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4.1中标人需注明设备的免费上门质保期限和具体的维修保障内容，在质保期内，厂商技术工程师每年进行至少两次现场免费检修，以保证采购人设备的正常运行。在质保期满后，中标人应提供终身上门维修保养且仅收取成本费，并在标书中标明上门维修保养的费用。保证不低于十五年的零配件供应。若制造商厂家决定停止生产某种备品备件，中标人应提前6个月通知采购人，以便采购人购买足够的备品备件。</w:t>
      </w:r>
    </w:p>
    <w:p w14:paraId="405908A8">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4.2中标方报价应包括易损部件和主要部件的分项报价，保修期到期后，维修免人工费，更换部件价格的涨幅不超过2%/年（从购置年份算起）。</w:t>
      </w:r>
    </w:p>
    <w:p w14:paraId="32ADD925">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5.维修响应时间</w:t>
      </w:r>
    </w:p>
    <w:p w14:paraId="52702F31">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5.1中标人应在24小时内对采购人的服务要求做出响应，2天内到达设备现场（节假日除外），维修服务包括远程指导和现场维修。如设备发生重大问题或其他无法立刻解决的问题应在一周内解决或提出明确解决方案，如因中标人原因不能及时修复，保修期将相应顺延。</w:t>
      </w:r>
    </w:p>
    <w:p w14:paraId="34CF40F8">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5.2保修期间，若有技术问题或非停机故障，当接到甲方电话报修后，2小时内做出响应，4小时内维保人员到达现场，重大紧急情况3小时内应到位，非停机故障需在72小时解决；能提供远程技术支持，国内24小时电话技术支持，及时排除故障，保障动物房安全运行。</w:t>
      </w:r>
    </w:p>
    <w:p w14:paraId="0DFC3F97">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5.3 保修期间出现下列情形之一，中标人免费整机换新：①单次停机故障在甲方电话报修72小时内未解决；②保修期间累计三次停机故障在甲方电话报修48小时内未解决；③保修期间累计五次非停机故障在24小时内未解决。由此产生的材料、运输、拆装、人工等所有费用均由中标人承担。</w:t>
      </w:r>
    </w:p>
    <w:p w14:paraId="21204100">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6.维修质量</w:t>
      </w:r>
    </w:p>
    <w:p w14:paraId="6D6A58DE">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6.1要求中标人具有合格资质的固定维修站，并配有专业维修工程师，保证提供及时优质的售后服务。生产厂家具有设备重要的备品备件，一般配件问题在7个工作日内解决，若逾期，采购人有权要求误期赔偿费，每天赔偿费按该中标设备故障出现前6个月的平均日工作量对应价值计收，直至交货为止。中标人累计两次维保不按时履行或累计两次维保验收不合格，甲方有权终止合同并向中标人索赔，赔偿金额为剩余维保金额的2倍。</w:t>
      </w:r>
    </w:p>
    <w:p w14:paraId="23E01B82">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7.软件升级</w:t>
      </w:r>
    </w:p>
    <w:p w14:paraId="678C2291">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在硬件支持的前提下，终身免费为采购人用户提供软件升级服务。</w:t>
      </w:r>
    </w:p>
    <w:p w14:paraId="0616F470">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8.提供设备装配总图、部件装配图、中文操作使用手册、中文维护手册、相关的软件备份、电气原理图、接线图等全套图纸资料随机一同交付，提供完整的产品出厂验收说明书。</w:t>
      </w:r>
    </w:p>
    <w:p w14:paraId="39AC2569">
      <w:pPr>
        <w:widowControl/>
        <w:adjustRightInd w:val="0"/>
        <w:snapToGrid w:val="0"/>
        <w:spacing w:line="360" w:lineRule="auto"/>
        <w:ind w:firstLine="480" w:firstLineChars="200"/>
        <w:rPr>
          <w:rFonts w:hint="eastAsia" w:ascii="仿宋" w:hAnsi="仿宋" w:eastAsia="仿宋" w:cs="仿宋"/>
          <w:sz w:val="24"/>
        </w:rPr>
      </w:pPr>
    </w:p>
    <w:p w14:paraId="1C23F3E1">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9.验收</w:t>
      </w:r>
    </w:p>
    <w:p w14:paraId="2A4FC433">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9.1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1269A9D">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9.2因本设备涉及到管道排布和安装，中标人应出具施工图纸，包括平面布局、管道工艺、机电专业、给排水专业等方面，需达到甲方验收标准。由于安装环境条件导致产品无法安装或无法正常使用的责任，均由中标人承担。</w:t>
      </w:r>
    </w:p>
    <w:p w14:paraId="51065AD1">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9.3货物到货验收时，中标人需提供特种承压设备检测检验的产品质量证明书、产品说明书等，并办理《特种设备使用登记证》（按台办理），相关办理费用由中标人承担，验收不合格则做退货处理。</w:t>
      </w:r>
    </w:p>
    <w:p w14:paraId="7BD6DF56">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9.4中标人安装人员对现场安装安全负有责任。中标人、采购人指定人员共同参加开箱检验，及时对货物数量、品牌、型号、规格进行核对、检验，如果在联合开箱检验中发现货物有任何短少，缺损，缺陷或与合同规定不符，双方代表当场签署1份详细报告，该报告将作为采购人在中标人有责任的情况下要求中标人进行更换、修理或补充发货的有效证据。同时中标人应及时地提出解决方案，并尽快地给以解决。</w:t>
      </w:r>
    </w:p>
    <w:p w14:paraId="7D42D728">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9.5验收期限：设备安装、调试、培训完毕后正常试运行1个月，之后组织预验收（档案验收+技术指标验收）和现场综合验收。中标人应派相关人员参加并协助采购人进行验收，验收流程与方法按采购人的规定执行。</w:t>
      </w:r>
    </w:p>
    <w:p w14:paraId="08450F8C">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9.6在采购人对主机、附件、软件的性能和功能进行测试合格基础上，由采购人授权人签字验收。</w:t>
      </w:r>
    </w:p>
    <w:p w14:paraId="5C7224A1">
      <w:pPr>
        <w:widowControl/>
        <w:spacing w:line="360" w:lineRule="auto"/>
        <w:rPr>
          <w:rFonts w:hint="eastAsia" w:ascii="仿宋" w:hAnsi="仿宋" w:eastAsia="仿宋" w:cs="仿宋"/>
          <w:sz w:val="24"/>
        </w:rPr>
      </w:pPr>
      <w:r>
        <w:rPr>
          <w:rFonts w:hint="eastAsia" w:ascii="仿宋" w:hAnsi="仿宋" w:eastAsia="仿宋" w:cs="仿宋"/>
          <w:sz w:val="24"/>
        </w:rPr>
        <w:t>三、包装要求及运输方式</w:t>
      </w:r>
    </w:p>
    <w:p w14:paraId="21F42C3A">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2F516A96">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2.在未收货前，货物保管、安全均由中标人负责。</w:t>
      </w:r>
    </w:p>
    <w:p w14:paraId="6172DB33">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3.提供的产品须为全新原装正品，相关配套附件质量优良，数量齐全。</w:t>
      </w:r>
    </w:p>
    <w:p w14:paraId="0E502426">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4.采购人使用该设备的任何一部分，当受第三方提出的侵犯其专利权、商标权或工业设计权的投诉时，一切后果由中标人负责。</w:t>
      </w:r>
    </w:p>
    <w:p w14:paraId="33877982">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其他要求：所有投标人必须提供技术成熟的定型产品，不接受通过改造才能达标的产品，不接受目前尚处于开发、设计、研制或试验阶段的产品。</w:t>
      </w:r>
    </w:p>
    <w:p w14:paraId="6F4D3070">
      <w:pPr>
        <w:widowControl/>
        <w:spacing w:line="360" w:lineRule="auto"/>
        <w:rPr>
          <w:rFonts w:hint="eastAsia" w:ascii="仿宋" w:hAnsi="仿宋" w:eastAsia="仿宋" w:cs="仿宋"/>
          <w:sz w:val="24"/>
        </w:rPr>
      </w:pPr>
      <w:r>
        <w:rPr>
          <w:rFonts w:hint="eastAsia" w:ascii="仿宋" w:hAnsi="仿宋" w:eastAsia="仿宋" w:cs="仿宋"/>
          <w:sz w:val="24"/>
        </w:rPr>
        <w:t>四、其他要求</w:t>
      </w:r>
    </w:p>
    <w:p w14:paraId="7F482C13">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所投产品为国产的：</w:t>
      </w:r>
    </w:p>
    <w:p w14:paraId="0ECFCA9E">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1、乙方逾期交付货物或逾期完成安装调试的，每逾期一天，须按合同总金额的万分之【十】支付逾期履行违约金。有下列情形之一的，甲方有权解除本合同：</w:t>
      </w:r>
    </w:p>
    <w:p w14:paraId="549CD0A9">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（1）乙方迟延交付货物或迟延完成安装调试，累计逾期达到【10】日的。</w:t>
      </w:r>
    </w:p>
    <w:p w14:paraId="1EFDC541">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27063DE1">
      <w:pPr>
        <w:spacing w:line="360" w:lineRule="auto"/>
        <w:rPr>
          <w:lang w:eastAsia="zh-CN"/>
        </w:rPr>
      </w:pPr>
      <w:r>
        <w:rPr>
          <w:rFonts w:hint="eastAsia" w:ascii="仿宋" w:hAnsi="仿宋" w:eastAsia="仿宋" w:cs="仿宋"/>
          <w:sz w:val="24"/>
        </w:rPr>
        <w:t>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仿宋_GB2312">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FB1D1D"/>
    <w:multiLevelType w:val="singleLevel"/>
    <w:tmpl w:val="F3FB1D1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143"/>
    <w:rsid w:val="00175F63"/>
    <w:rsid w:val="002E0949"/>
    <w:rsid w:val="002E11CD"/>
    <w:rsid w:val="00336BDF"/>
    <w:rsid w:val="00433974"/>
    <w:rsid w:val="004C573F"/>
    <w:rsid w:val="004F493C"/>
    <w:rsid w:val="005F3D24"/>
    <w:rsid w:val="00607564"/>
    <w:rsid w:val="00661D76"/>
    <w:rsid w:val="00802143"/>
    <w:rsid w:val="00857A07"/>
    <w:rsid w:val="008E1F50"/>
    <w:rsid w:val="009E2739"/>
    <w:rsid w:val="00B775F0"/>
    <w:rsid w:val="00BC214A"/>
    <w:rsid w:val="00DB495C"/>
    <w:rsid w:val="00E56071"/>
    <w:rsid w:val="00EF5112"/>
    <w:rsid w:val="00FF528F"/>
    <w:rsid w:val="76075B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50"/>
    <w:semiHidden/>
    <w:unhideWhenUsed/>
    <w:uiPriority w:val="99"/>
    <w:pPr>
      <w:jc w:val="left"/>
    </w:pPr>
  </w:style>
  <w:style w:type="paragraph" w:styleId="12">
    <w:name w:val="Body Text"/>
    <w:basedOn w:val="1"/>
    <w:link w:val="46"/>
    <w:semiHidden/>
    <w:unhideWhenUsed/>
    <w:qFormat/>
    <w:uiPriority w:val="99"/>
    <w:pPr>
      <w:spacing w:after="120"/>
    </w:pPr>
    <w:rPr>
      <w:rFonts w:ascii="Times New Roman" w:hAnsi="Times New Roman" w:eastAsia="宋体" w:cs="Times New Roman"/>
      <w:szCs w:val="24"/>
      <w14:ligatures w14:val="none"/>
    </w:rPr>
  </w:style>
  <w:style w:type="paragraph" w:styleId="13">
    <w:name w:val="Body Text Indent"/>
    <w:basedOn w:val="1"/>
    <w:link w:val="48"/>
    <w:semiHidden/>
    <w:unhideWhenUsed/>
    <w:qFormat/>
    <w:uiPriority w:val="99"/>
    <w:pPr>
      <w:spacing w:after="120"/>
      <w:ind w:left="420" w:leftChars="200"/>
    </w:pPr>
  </w:style>
  <w:style w:type="paragraph" w:styleId="14">
    <w:name w:val="Balloon Text"/>
    <w:basedOn w:val="1"/>
    <w:link w:val="52"/>
    <w:semiHidden/>
    <w:unhideWhenUsed/>
    <w:qFormat/>
    <w:uiPriority w:val="99"/>
    <w:rPr>
      <w:sz w:val="18"/>
      <w:szCs w:val="18"/>
    </w:rPr>
  </w:style>
  <w:style w:type="paragraph" w:styleId="15">
    <w:name w:val="footer"/>
    <w:basedOn w:val="1"/>
    <w:link w:val="45"/>
    <w:unhideWhenUsed/>
    <w:qFormat/>
    <w:uiPriority w:val="99"/>
    <w:pPr>
      <w:tabs>
        <w:tab w:val="center" w:pos="4153"/>
        <w:tab w:val="right" w:pos="8306"/>
      </w:tabs>
      <w:snapToGrid w:val="0"/>
      <w:jc w:val="left"/>
    </w:pPr>
    <w:rPr>
      <w:sz w:val="18"/>
      <w:szCs w:val="18"/>
    </w:rPr>
  </w:style>
  <w:style w:type="paragraph" w:styleId="16">
    <w:name w:val="header"/>
    <w:basedOn w:val="1"/>
    <w:link w:val="44"/>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Subtitle"/>
    <w:basedOn w:val="1"/>
    <w:next w:val="1"/>
    <w:link w:val="34"/>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9">
    <w:name w:val="annotation subject"/>
    <w:basedOn w:val="11"/>
    <w:next w:val="11"/>
    <w:link w:val="51"/>
    <w:semiHidden/>
    <w:unhideWhenUsed/>
    <w:uiPriority w:val="99"/>
    <w:rPr>
      <w:b/>
      <w:bCs/>
    </w:rPr>
  </w:style>
  <w:style w:type="paragraph" w:styleId="20">
    <w:name w:val="Body Text First Indent 2"/>
    <w:basedOn w:val="13"/>
    <w:link w:val="49"/>
    <w:semiHidden/>
    <w:unhideWhenUsed/>
    <w:uiPriority w:val="99"/>
    <w:pPr>
      <w:ind w:firstLine="420" w:firstLineChars="200"/>
    </w:pPr>
  </w:style>
  <w:style w:type="character" w:styleId="23">
    <w:name w:val="annotation reference"/>
    <w:basedOn w:val="22"/>
    <w:semiHidden/>
    <w:unhideWhenUsed/>
    <w:qFormat/>
    <w:uiPriority w:val="99"/>
    <w:rPr>
      <w:sz w:val="21"/>
      <w:szCs w:val="21"/>
    </w:rPr>
  </w:style>
  <w:style w:type="character" w:customStyle="1" w:styleId="24">
    <w:name w:val="标题 1 字符"/>
    <w:basedOn w:val="22"/>
    <w:link w:val="2"/>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2"/>
    <w:link w:val="4"/>
    <w:semiHidden/>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2"/>
    <w:link w:val="5"/>
    <w:semiHidden/>
    <w:uiPriority w:val="9"/>
    <w:rPr>
      <w:rFonts w:cstheme="majorBidi"/>
      <w:color w:val="104862" w:themeColor="accent1" w:themeShade="BF"/>
      <w:sz w:val="28"/>
      <w:szCs w:val="28"/>
    </w:rPr>
  </w:style>
  <w:style w:type="character" w:customStyle="1" w:styleId="28">
    <w:name w:val="标题 5 字符"/>
    <w:basedOn w:val="22"/>
    <w:link w:val="6"/>
    <w:semiHidden/>
    <w:uiPriority w:val="9"/>
    <w:rPr>
      <w:rFonts w:cstheme="majorBidi"/>
      <w:color w:val="104862" w:themeColor="accent1" w:themeShade="BF"/>
      <w:sz w:val="24"/>
      <w:szCs w:val="24"/>
    </w:rPr>
  </w:style>
  <w:style w:type="character" w:customStyle="1" w:styleId="29">
    <w:name w:val="标题 6 字符"/>
    <w:basedOn w:val="22"/>
    <w:link w:val="7"/>
    <w:semiHidden/>
    <w:uiPriority w:val="9"/>
    <w:rPr>
      <w:rFonts w:cstheme="majorBidi"/>
      <w:b/>
      <w:bCs/>
      <w:color w:val="104862" w:themeColor="accent1" w:themeShade="BF"/>
    </w:rPr>
  </w:style>
  <w:style w:type="character" w:customStyle="1" w:styleId="30">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2"/>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2"/>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2"/>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
    <w:basedOn w:val="22"/>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2"/>
    <w:link w:val="39"/>
    <w:qFormat/>
    <w:uiPriority w:val="30"/>
    <w:rPr>
      <w:i/>
      <w:iCs/>
      <w:color w:val="104862" w:themeColor="accent1" w:themeShade="BF"/>
    </w:rPr>
  </w:style>
  <w:style w:type="character" w:customStyle="1" w:styleId="41">
    <w:name w:val="Intense Reference"/>
    <w:basedOn w:val="22"/>
    <w:qFormat/>
    <w:uiPriority w:val="32"/>
    <w:rPr>
      <w:b/>
      <w:bCs/>
      <w:smallCaps/>
      <w:color w:val="104862" w:themeColor="accent1" w:themeShade="BF"/>
      <w:spacing w:val="5"/>
    </w:rPr>
  </w:style>
  <w:style w:type="paragraph" w:customStyle="1" w:styleId="42">
    <w:name w:val="Style1"/>
    <w:basedOn w:val="1"/>
    <w:qFormat/>
    <w:uiPriority w:val="0"/>
    <w:pPr>
      <w:widowControl/>
      <w:tabs>
        <w:tab w:val="left" w:pos="-720"/>
      </w:tabs>
      <w:spacing w:after="120"/>
    </w:pPr>
    <w:rPr>
      <w:rFonts w:ascii="Times New Roman" w:hAnsi="Times New Roman" w:eastAsia="宋体" w:cs="Times New Roman"/>
      <w:spacing w:val="-3"/>
      <w:kern w:val="0"/>
      <w:sz w:val="24"/>
      <w:szCs w:val="20"/>
      <w:lang w:val="en-AU" w:eastAsia="en-US"/>
    </w:rPr>
  </w:style>
  <w:style w:type="paragraph" w:customStyle="1" w:styleId="43">
    <w:name w:val="正文无缩进"/>
    <w:qFormat/>
    <w:uiPriority w:val="0"/>
    <w:pPr>
      <w:widowControl w:val="0"/>
      <w:snapToGrid w:val="0"/>
      <w:spacing w:before="120" w:line="300" w:lineRule="auto"/>
      <w:jc w:val="both"/>
    </w:pPr>
    <w:rPr>
      <w:rFonts w:ascii="Times New Roman" w:hAnsi="Times New Roman" w:eastAsia="宋体" w:cs="Times New Roman"/>
      <w:kern w:val="2"/>
      <w:sz w:val="24"/>
      <w:szCs w:val="20"/>
      <w:lang w:val="en-US" w:eastAsia="zh-CN" w:bidi="ar-SA"/>
      <w14:ligatures w14:val="standardContextual"/>
    </w:rPr>
  </w:style>
  <w:style w:type="character" w:customStyle="1" w:styleId="44">
    <w:name w:val="页眉 字符"/>
    <w:basedOn w:val="22"/>
    <w:link w:val="16"/>
    <w:uiPriority w:val="99"/>
    <w:rPr>
      <w:sz w:val="18"/>
      <w:szCs w:val="18"/>
    </w:rPr>
  </w:style>
  <w:style w:type="character" w:customStyle="1" w:styleId="45">
    <w:name w:val="页脚 字符"/>
    <w:basedOn w:val="22"/>
    <w:link w:val="15"/>
    <w:uiPriority w:val="99"/>
    <w:rPr>
      <w:sz w:val="18"/>
      <w:szCs w:val="18"/>
    </w:rPr>
  </w:style>
  <w:style w:type="character" w:customStyle="1" w:styleId="46">
    <w:name w:val="正文文本 字符"/>
    <w:basedOn w:val="22"/>
    <w:link w:val="12"/>
    <w:semiHidden/>
    <w:uiPriority w:val="99"/>
    <w:rPr>
      <w:rFonts w:ascii="Times New Roman" w:hAnsi="Times New Roman" w:eastAsia="宋体" w:cs="Times New Roman"/>
      <w:szCs w:val="24"/>
      <w14:ligatures w14:val="none"/>
    </w:rPr>
  </w:style>
  <w:style w:type="paragraph" w:customStyle="1" w:styleId="47">
    <w:name w:val="_Style 3"/>
    <w:basedOn w:val="13"/>
    <w:next w:val="20"/>
    <w:qFormat/>
    <w:uiPriority w:val="0"/>
    <w:pPr>
      <w:ind w:left="200" w:firstLine="200" w:firstLineChars="200"/>
    </w:pPr>
    <w:rPr>
      <w:rFonts w:ascii="Calibri" w:hAnsi="Calibri" w:eastAsia="宋体" w:cs="Times New Roman"/>
      <w:szCs w:val="24"/>
      <w14:ligatures w14:val="none"/>
    </w:rPr>
  </w:style>
  <w:style w:type="character" w:customStyle="1" w:styleId="48">
    <w:name w:val="正文文本缩进 字符"/>
    <w:basedOn w:val="22"/>
    <w:link w:val="13"/>
    <w:semiHidden/>
    <w:qFormat/>
    <w:uiPriority w:val="99"/>
  </w:style>
  <w:style w:type="character" w:customStyle="1" w:styleId="49">
    <w:name w:val="正文文本首行缩进 2 字符"/>
    <w:basedOn w:val="48"/>
    <w:link w:val="20"/>
    <w:semiHidden/>
    <w:uiPriority w:val="99"/>
  </w:style>
  <w:style w:type="character" w:customStyle="1" w:styleId="50">
    <w:name w:val="批注文字 字符"/>
    <w:basedOn w:val="22"/>
    <w:link w:val="11"/>
    <w:semiHidden/>
    <w:qFormat/>
    <w:uiPriority w:val="99"/>
  </w:style>
  <w:style w:type="character" w:customStyle="1" w:styleId="51">
    <w:name w:val="批注主题 字符"/>
    <w:basedOn w:val="50"/>
    <w:link w:val="19"/>
    <w:semiHidden/>
    <w:uiPriority w:val="99"/>
    <w:rPr>
      <w:b/>
      <w:bCs/>
    </w:rPr>
  </w:style>
  <w:style w:type="character" w:customStyle="1" w:styleId="52">
    <w:name w:val="批注框文本 字符"/>
    <w:basedOn w:val="22"/>
    <w:link w:val="14"/>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4962</Words>
  <Characters>5085</Characters>
  <Lines>37</Lines>
  <Paragraphs>10</Paragraphs>
  <TotalTime>37</TotalTime>
  <ScaleCrop>false</ScaleCrop>
  <LinksUpToDate>false</LinksUpToDate>
  <CharactersWithSpaces>5088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2024-05-06T01:05:00Z</dcterms:created>
  <dc:creator>钰 张</dc:creator>
  <cp:lastModifiedBy>段池</cp:lastModifiedBy>
  <dcterms:modified xsi:type="dcterms:W3CDTF">2026-03-12T01:33:52Z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60AE75470ED34BD5AEF02080F2DDD823_12</vt:lpwstr>
  </property>
</Properties>
</file>