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D30AF4">
      <w:pPr>
        <w:keepNext/>
        <w:keepLines/>
        <w:adjustRightInd w:val="0"/>
        <w:snapToGrid w:val="0"/>
        <w:spacing w:before="156" w:beforeLines="50" w:line="360" w:lineRule="auto"/>
        <w:ind w:right="-122" w:firstLine="562"/>
        <w:jc w:val="center"/>
        <w:outlineLvl w:val="1"/>
        <w:rPr>
          <w:rFonts w:ascii="黑体" w:hAnsi="宋体" w:eastAsia="黑体" w:cs="Times New Roman"/>
          <w:b/>
          <w:bCs/>
          <w:sz w:val="28"/>
          <w:szCs w:val="28"/>
        </w:rPr>
      </w:pPr>
      <w:r>
        <w:rPr>
          <w:rFonts w:ascii="黑体" w:hAnsi="宋体" w:eastAsia="黑体" w:cs="黑体"/>
          <w:b/>
          <w:bCs/>
          <w:sz w:val="28"/>
          <w:szCs w:val="28"/>
          <w:lang w:bidi="ar"/>
        </w:rPr>
        <w:t>第三节、商务要求</w:t>
      </w:r>
    </w:p>
    <w:p w14:paraId="12BB8AA9">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仿宋" w:hAnsi="仿宋" w:eastAsia="仿宋" w:cs="宋体"/>
          <w:b/>
          <w:color w:val="000000" w:themeColor="text1"/>
          <w:kern w:val="0"/>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一、</w:t>
      </w:r>
      <w:r>
        <w:rPr>
          <w:rFonts w:hint="eastAsia" w:ascii="仿宋" w:hAnsi="仿宋" w:eastAsia="仿宋" w:cs="宋体"/>
          <w:b/>
          <w:color w:val="000000" w:themeColor="text1"/>
          <w:kern w:val="0"/>
          <w:sz w:val="24"/>
          <w14:textFill>
            <w14:solidFill>
              <w14:schemeClr w14:val="tx1"/>
            </w14:solidFill>
          </w14:textFill>
        </w:rPr>
        <w:t>采购项目的供货期、交付或者实施的时间和地点：</w:t>
      </w:r>
    </w:p>
    <w:p w14:paraId="08C4BD33">
      <w:pPr>
        <w:pStyle w:val="3"/>
        <w:keepNext w:val="0"/>
        <w:keepLines w:val="0"/>
        <w:pageBreakBefore w:val="0"/>
        <w:widowControl w:val="0"/>
        <w:kinsoku/>
        <w:wordWrap/>
        <w:overflowPunct/>
        <w:topLinePunct w:val="0"/>
        <w:autoSpaceDE/>
        <w:autoSpaceDN/>
        <w:bidi w:val="0"/>
        <w:spacing w:after="0" w:line="440" w:lineRule="exact"/>
        <w:ind w:firstLine="210" w:firstLineChars="100"/>
        <w:textAlignment w:val="auto"/>
        <w:rPr>
          <w:rFonts w:hint="eastAsia" w:ascii="仿宋" w:hAnsi="仿宋" w:eastAsia="仿宋" w:cstheme="minorBidi"/>
          <w:color w:val="000000" w:themeColor="text1"/>
          <w:kern w:val="2"/>
          <w:sz w:val="21"/>
          <w:szCs w:val="21"/>
          <w:lang w:val="en-US" w:eastAsia="zh-CN" w:bidi="ar-SA"/>
          <w14:textFill>
            <w14:solidFill>
              <w14:schemeClr w14:val="tx1"/>
            </w14:solidFill>
          </w14:textFill>
        </w:rPr>
      </w:pPr>
      <w:r>
        <w:rPr>
          <w:rFonts w:hint="eastAsia" w:ascii="仿宋" w:hAnsi="仿宋" w:eastAsia="仿宋" w:cstheme="minorBidi"/>
          <w:color w:val="000000" w:themeColor="text1"/>
          <w:kern w:val="2"/>
          <w:sz w:val="21"/>
          <w:szCs w:val="21"/>
          <w:lang w:val="en-US" w:eastAsia="zh-CN" w:bidi="ar-SA"/>
          <w14:textFill>
            <w14:solidFill>
              <w14:schemeClr w14:val="tx1"/>
            </w14:solidFill>
          </w14:textFill>
        </w:rPr>
        <w:t>1、交付期限：合同签订后90个工作日内。</w:t>
      </w:r>
    </w:p>
    <w:p w14:paraId="3AA8CCE4">
      <w:pPr>
        <w:pStyle w:val="3"/>
        <w:keepNext w:val="0"/>
        <w:keepLines w:val="0"/>
        <w:pageBreakBefore w:val="0"/>
        <w:widowControl w:val="0"/>
        <w:kinsoku/>
        <w:wordWrap/>
        <w:overflowPunct/>
        <w:topLinePunct w:val="0"/>
        <w:autoSpaceDE/>
        <w:autoSpaceDN/>
        <w:bidi w:val="0"/>
        <w:spacing w:after="0" w:line="440" w:lineRule="exact"/>
        <w:ind w:firstLine="210" w:firstLineChars="100"/>
        <w:textAlignment w:val="auto"/>
        <w:rPr>
          <w:rFonts w:hint="eastAsia" w:ascii="仿宋" w:hAnsi="仿宋" w:eastAsia="仿宋" w:cstheme="minorBidi"/>
          <w:color w:val="000000" w:themeColor="text1"/>
          <w:kern w:val="2"/>
          <w:sz w:val="21"/>
          <w:szCs w:val="21"/>
          <w:lang w:val="en-US" w:eastAsia="zh-CN" w:bidi="ar-SA"/>
          <w14:textFill>
            <w14:solidFill>
              <w14:schemeClr w14:val="tx1"/>
            </w14:solidFill>
          </w14:textFill>
        </w:rPr>
      </w:pPr>
      <w:r>
        <w:rPr>
          <w:rFonts w:hint="eastAsia" w:ascii="仿宋" w:hAnsi="仿宋" w:eastAsia="仿宋" w:cstheme="minorBidi"/>
          <w:color w:val="000000" w:themeColor="text1"/>
          <w:kern w:val="2"/>
          <w:sz w:val="21"/>
          <w:szCs w:val="21"/>
          <w:lang w:val="en-US" w:eastAsia="zh-CN" w:bidi="ar-SA"/>
          <w14:textFill>
            <w14:solidFill>
              <w14:schemeClr w14:val="tx1"/>
            </w14:solidFill>
          </w14:textFill>
        </w:rPr>
        <w:t>2、交付地点：中南大学杏林校区孝骞楼525室。</w:t>
      </w:r>
    </w:p>
    <w:p w14:paraId="50140433">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仿宋" w:hAnsi="仿宋" w:eastAsia="仿宋" w:cs="宋体"/>
          <w:b/>
          <w:color w:val="000000" w:themeColor="text1"/>
          <w:kern w:val="0"/>
          <w:sz w:val="24"/>
          <w14:textFill>
            <w14:solidFill>
              <w14:schemeClr w14:val="tx1"/>
            </w14:solidFill>
          </w14:textFill>
        </w:rPr>
      </w:pPr>
      <w:r>
        <w:rPr>
          <w:rFonts w:hint="eastAsia" w:ascii="仿宋" w:hAnsi="仿宋" w:eastAsia="仿宋" w:cs="宋体"/>
          <w:b/>
          <w:color w:val="000000" w:themeColor="text1"/>
          <w:kern w:val="0"/>
          <w:sz w:val="24"/>
          <w14:textFill>
            <w14:solidFill>
              <w14:schemeClr w14:val="tx1"/>
            </w14:solidFill>
          </w14:textFill>
        </w:rPr>
        <w:t>二、付款方式：</w:t>
      </w:r>
    </w:p>
    <w:p w14:paraId="1D49AB0E">
      <w:pPr>
        <w:pStyle w:val="17"/>
        <w:keepNext w:val="0"/>
        <w:keepLines w:val="0"/>
        <w:pageBreakBefore w:val="0"/>
        <w:widowControl w:val="0"/>
        <w:kinsoku/>
        <w:wordWrap/>
        <w:overflowPunct/>
        <w:topLinePunct w:val="0"/>
        <w:autoSpaceDE/>
        <w:autoSpaceDN/>
        <w:bidi w:val="0"/>
        <w:spacing w:line="440" w:lineRule="exact"/>
        <w:textAlignment w:val="auto"/>
        <w:rPr>
          <w:rFonts w:hint="eastAsia" w:ascii="仿宋" w:hAnsi="仿宋" w:eastAsia="仿宋" w:cstheme="minorBidi"/>
          <w:color w:val="000000" w:themeColor="text1"/>
          <w:kern w:val="2"/>
          <w:sz w:val="21"/>
          <w:szCs w:val="21"/>
          <w:lang w:val="zh-CN" w:eastAsia="zh-CN" w:bidi="ar-SA"/>
          <w14:textFill>
            <w14:solidFill>
              <w14:schemeClr w14:val="tx1"/>
            </w14:solidFill>
          </w14:textFill>
        </w:rPr>
      </w:pPr>
      <w:r>
        <w:rPr>
          <w:rFonts w:hint="eastAsia" w:ascii="仿宋" w:hAnsi="仿宋" w:eastAsia="仿宋" w:cstheme="minorBidi"/>
          <w:color w:val="000000" w:themeColor="text1"/>
          <w:kern w:val="2"/>
          <w:sz w:val="21"/>
          <w:szCs w:val="21"/>
          <w:lang w:val="en-US" w:eastAsia="zh-CN" w:bidi="ar-SA"/>
          <w14:textFill>
            <w14:solidFill>
              <w14:schemeClr w14:val="tx1"/>
            </w14:solidFill>
          </w14:textFill>
        </w:rPr>
        <w:t>合同签订后7个工作日内，甲方支付合同金额30%作预付款；服务完成后甲方向乙方支付合同全款的50%作为进度款，经验收合格后5个工作日内，乙方应向甲方账户缴纳合同金额5%作履约保证金后，甲方凭借乙方开具的增值税专用发票，向乙方支付20%货款。履约保证金在验收合格之日起2年后退回，履约保证金不计利息。</w:t>
      </w:r>
    </w:p>
    <w:p w14:paraId="72E46254">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仿宋" w:hAnsi="仿宋" w:eastAsia="仿宋" w:cs="宋体"/>
          <w:b/>
          <w:color w:val="000000" w:themeColor="text1"/>
          <w:kern w:val="0"/>
          <w:sz w:val="24"/>
          <w14:textFill>
            <w14:solidFill>
              <w14:schemeClr w14:val="tx1"/>
            </w14:solidFill>
          </w14:textFill>
        </w:rPr>
      </w:pPr>
      <w:r>
        <w:rPr>
          <w:rFonts w:hint="eastAsia" w:ascii="仿宋" w:hAnsi="仿宋" w:eastAsia="仿宋" w:cs="宋体"/>
          <w:b/>
          <w:color w:val="000000" w:themeColor="text1"/>
          <w:kern w:val="0"/>
          <w:sz w:val="24"/>
          <w14:textFill>
            <w14:solidFill>
              <w14:schemeClr w14:val="tx1"/>
            </w14:solidFill>
          </w14:textFill>
        </w:rPr>
        <w:t>三、售后要求：</w:t>
      </w:r>
    </w:p>
    <w:p w14:paraId="086E46F8">
      <w:pPr>
        <w:keepNext w:val="0"/>
        <w:keepLines w:val="0"/>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hint="eastAsia" w:ascii="仿宋" w:hAnsi="仿宋" w:eastAsia="仿宋"/>
          <w:color w:val="000000" w:themeColor="text1"/>
          <w:szCs w:val="21"/>
          <w:lang w:val="zh-CN"/>
          <w14:textFill>
            <w14:solidFill>
              <w14:schemeClr w14:val="tx1"/>
            </w14:solidFill>
          </w14:textFill>
        </w:rPr>
      </w:pPr>
      <w:r>
        <w:rPr>
          <w:rFonts w:hint="eastAsia" w:ascii="仿宋" w:hAnsi="仿宋" w:eastAsia="仿宋"/>
          <w:color w:val="000000" w:themeColor="text1"/>
          <w:szCs w:val="21"/>
          <w:lang w:val="zh-CN"/>
          <w14:textFill>
            <w14:solidFill>
              <w14:schemeClr w14:val="tx1"/>
            </w14:solidFill>
          </w14:textFill>
        </w:rPr>
        <w:t>要求投标人在课程交付</w:t>
      </w:r>
      <w:r>
        <w:rPr>
          <w:rFonts w:hint="eastAsia" w:ascii="仿宋" w:hAnsi="仿宋" w:eastAsia="仿宋"/>
          <w:color w:val="000000" w:themeColor="text1"/>
          <w:szCs w:val="21"/>
          <w:lang w:val="en-US" w:eastAsia="zh-CN"/>
          <w14:textFill>
            <w14:solidFill>
              <w14:schemeClr w14:val="tx1"/>
            </w14:solidFill>
          </w14:textFill>
        </w:rPr>
        <w:t>5</w:t>
      </w:r>
      <w:r>
        <w:rPr>
          <w:rFonts w:hint="eastAsia" w:ascii="仿宋" w:hAnsi="仿宋" w:eastAsia="仿宋"/>
          <w:color w:val="000000" w:themeColor="text1"/>
          <w:szCs w:val="21"/>
          <w:lang w:val="zh-CN"/>
          <w14:textFill>
            <w14:solidFill>
              <w14:schemeClr w14:val="tx1"/>
            </w14:solidFill>
          </w14:textFill>
        </w:rPr>
        <w:t>年内对课程运行提供免费的运行指导</w:t>
      </w:r>
      <w:r>
        <w:rPr>
          <w:rFonts w:hint="eastAsia" w:ascii="仿宋" w:hAnsi="仿宋" w:eastAsia="仿宋"/>
          <w:color w:val="000000" w:themeColor="text1"/>
          <w:szCs w:val="21"/>
          <w:lang w:val="en-US" w:eastAsia="zh-CN"/>
          <w14:textFill>
            <w14:solidFill>
              <w14:schemeClr w14:val="tx1"/>
            </w14:solidFill>
          </w14:textFill>
        </w:rPr>
        <w:t>和集中培训</w:t>
      </w:r>
      <w:r>
        <w:rPr>
          <w:rFonts w:hint="eastAsia" w:ascii="仿宋" w:hAnsi="仿宋" w:eastAsia="仿宋"/>
          <w:color w:val="000000" w:themeColor="text1"/>
          <w:szCs w:val="21"/>
          <w:lang w:val="zh-CN"/>
          <w14:textFill>
            <w14:solidFill>
              <w14:schemeClr w14:val="tx1"/>
            </w14:solidFill>
          </w14:textFill>
        </w:rPr>
        <w:t>，并针对运行过程中发现的问题，在不高于总课时</w:t>
      </w:r>
      <w:r>
        <w:rPr>
          <w:rFonts w:hint="eastAsia" w:ascii="仿宋" w:hAnsi="仿宋" w:eastAsia="仿宋"/>
          <w:color w:val="000000" w:themeColor="text1"/>
          <w:szCs w:val="21"/>
          <w:lang w:val="en-US" w:eastAsia="zh-CN"/>
          <w14:textFill>
            <w14:solidFill>
              <w14:schemeClr w14:val="tx1"/>
            </w14:solidFill>
          </w14:textFill>
        </w:rPr>
        <w:t>30</w:t>
      </w:r>
      <w:r>
        <w:rPr>
          <w:rFonts w:hint="eastAsia" w:ascii="仿宋" w:hAnsi="仿宋" w:eastAsia="仿宋"/>
          <w:color w:val="000000" w:themeColor="text1"/>
          <w:szCs w:val="21"/>
          <w:lang w:val="zh-CN"/>
          <w14:textFill>
            <w14:solidFill>
              <w14:schemeClr w14:val="tx1"/>
            </w14:solidFill>
          </w14:textFill>
        </w:rPr>
        <w:t>%的原则上提供课程完善改进所涉及的课程设计、视频拍摄等相关服务，提供线下见面课的技术支持，提供投标人售后服务承诺函并加盖公章。</w:t>
      </w:r>
      <w:bookmarkStart w:id="0" w:name="_GoBack"/>
      <w:bookmarkEnd w:id="0"/>
    </w:p>
    <w:p w14:paraId="4C3AFD19">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仿宋" w:hAnsi="仿宋" w:eastAsia="仿宋" w:cs="宋体"/>
          <w:b/>
          <w:color w:val="000000" w:themeColor="text1"/>
          <w:kern w:val="0"/>
          <w:sz w:val="24"/>
          <w14:textFill>
            <w14:solidFill>
              <w14:schemeClr w14:val="tx1"/>
            </w14:solidFill>
          </w14:textFill>
        </w:rPr>
      </w:pPr>
      <w:r>
        <w:rPr>
          <w:rFonts w:hint="eastAsia" w:ascii="仿宋" w:hAnsi="仿宋" w:eastAsia="仿宋" w:cs="宋体"/>
          <w:b/>
          <w:color w:val="000000" w:themeColor="text1"/>
          <w:kern w:val="0"/>
          <w:sz w:val="24"/>
          <w14:textFill>
            <w14:solidFill>
              <w14:schemeClr w14:val="tx1"/>
            </w14:solidFill>
          </w14:textFill>
        </w:rPr>
        <w:t>四、其他说明：</w:t>
      </w:r>
    </w:p>
    <w:p w14:paraId="4B7A0DA3">
      <w:pPr>
        <w:pStyle w:val="3"/>
        <w:keepNext w:val="0"/>
        <w:keepLines w:val="0"/>
        <w:pageBreakBefore w:val="0"/>
        <w:widowControl w:val="0"/>
        <w:kinsoku/>
        <w:wordWrap/>
        <w:overflowPunct/>
        <w:topLinePunct w:val="0"/>
        <w:autoSpaceDE/>
        <w:autoSpaceDN/>
        <w:bidi w:val="0"/>
        <w:spacing w:after="0" w:line="440" w:lineRule="exact"/>
        <w:ind w:firstLine="422" w:firstLineChars="200"/>
        <w:textAlignment w:val="auto"/>
        <w:rPr>
          <w:rFonts w:ascii="仿宋" w:hAnsi="仿宋" w:eastAsia="仿宋"/>
          <w:b/>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（1）报价要求</w:t>
      </w:r>
    </w:p>
    <w:p w14:paraId="765DC8E8">
      <w:pPr>
        <w:pStyle w:val="3"/>
        <w:keepNext w:val="0"/>
        <w:keepLines w:val="0"/>
        <w:pageBreakBefore w:val="0"/>
        <w:widowControl w:val="0"/>
        <w:kinsoku/>
        <w:wordWrap/>
        <w:overflowPunct/>
        <w:topLinePunct w:val="0"/>
        <w:autoSpaceDE/>
        <w:autoSpaceDN/>
        <w:bidi w:val="0"/>
        <w:spacing w:after="0" w:line="440" w:lineRule="exact"/>
        <w:ind w:firstLine="630" w:firstLineChars="300"/>
        <w:textAlignment w:val="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①报价币种为人民币。</w:t>
      </w:r>
    </w:p>
    <w:p w14:paraId="0EAC6599">
      <w:pPr>
        <w:pStyle w:val="3"/>
        <w:keepNext w:val="0"/>
        <w:keepLines w:val="0"/>
        <w:pageBreakBefore w:val="0"/>
        <w:widowControl w:val="0"/>
        <w:kinsoku/>
        <w:wordWrap/>
        <w:overflowPunct/>
        <w:topLinePunct w:val="0"/>
        <w:autoSpaceDE/>
        <w:autoSpaceDN/>
        <w:bidi w:val="0"/>
        <w:spacing w:after="0" w:line="440" w:lineRule="exact"/>
        <w:ind w:firstLine="630" w:firstLineChars="300"/>
        <w:textAlignment w:val="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②投标人在投标时只允许提供一个方案。</w:t>
      </w:r>
    </w:p>
    <w:p w14:paraId="0E247E40">
      <w:pPr>
        <w:pStyle w:val="3"/>
        <w:keepNext w:val="0"/>
        <w:keepLines w:val="0"/>
        <w:pageBreakBefore w:val="0"/>
        <w:widowControl w:val="0"/>
        <w:kinsoku/>
        <w:wordWrap/>
        <w:overflowPunct/>
        <w:topLinePunct w:val="0"/>
        <w:autoSpaceDE/>
        <w:autoSpaceDN/>
        <w:bidi w:val="0"/>
        <w:spacing w:after="0" w:line="440" w:lineRule="exact"/>
        <w:ind w:firstLine="630" w:firstLineChars="300"/>
        <w:textAlignment w:val="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③投标人须提供项目的分项单价和总价，如果单价和总价不符，以单价为准，但单价金额小数点有明显错误的除外。</w:t>
      </w:r>
    </w:p>
    <w:p w14:paraId="3A2B1CDF">
      <w:pPr>
        <w:pStyle w:val="3"/>
        <w:keepNext w:val="0"/>
        <w:keepLines w:val="0"/>
        <w:pageBreakBefore w:val="0"/>
        <w:widowControl w:val="0"/>
        <w:kinsoku/>
        <w:wordWrap/>
        <w:overflowPunct/>
        <w:topLinePunct w:val="0"/>
        <w:autoSpaceDE/>
        <w:autoSpaceDN/>
        <w:bidi w:val="0"/>
        <w:spacing w:after="0" w:line="440" w:lineRule="exact"/>
        <w:ind w:firstLine="630" w:firstLineChars="300"/>
        <w:textAlignment w:val="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④如果大写的金额和小写的金额不一致时，以大写的金额为准。</w:t>
      </w:r>
    </w:p>
    <w:p w14:paraId="4AAF9D14">
      <w:pPr>
        <w:pStyle w:val="3"/>
        <w:keepNext w:val="0"/>
        <w:keepLines w:val="0"/>
        <w:pageBreakBefore w:val="0"/>
        <w:widowControl w:val="0"/>
        <w:kinsoku/>
        <w:wordWrap/>
        <w:overflowPunct/>
        <w:topLinePunct w:val="0"/>
        <w:autoSpaceDE/>
        <w:autoSpaceDN/>
        <w:bidi w:val="0"/>
        <w:spacing w:after="0" w:line="440" w:lineRule="exact"/>
        <w:ind w:firstLine="630" w:firstLineChars="300"/>
        <w:textAlignment w:val="auto"/>
        <w:rPr>
          <w:rFonts w:hint="eastAsia"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⑤本合同价款按照招标文件中规定，采用总价包干的形式确定，不再以任何原因</w:t>
      </w:r>
      <w:r>
        <w:rPr>
          <w:rFonts w:hint="eastAsia" w:ascii="仿宋" w:hAnsi="仿宋" w:eastAsia="仿宋"/>
          <w:color w:val="000000" w:themeColor="text1"/>
          <w14:textFill>
            <w14:solidFill>
              <w14:schemeClr w14:val="tx1"/>
            </w14:solidFill>
          </w14:textFill>
        </w:rPr>
        <w:t>增加费用。</w:t>
      </w:r>
    </w:p>
    <w:p w14:paraId="5DCA58BD">
      <w:pPr>
        <w:pStyle w:val="3"/>
        <w:keepNext w:val="0"/>
        <w:keepLines w:val="0"/>
        <w:pageBreakBefore w:val="0"/>
        <w:widowControl w:val="0"/>
        <w:kinsoku/>
        <w:wordWrap/>
        <w:overflowPunct/>
        <w:topLinePunct w:val="0"/>
        <w:autoSpaceDE/>
        <w:autoSpaceDN/>
        <w:bidi w:val="0"/>
        <w:spacing w:after="0" w:line="440" w:lineRule="exact"/>
        <w:ind w:firstLine="630" w:firstLineChars="300"/>
        <w:textAlignment w:val="auto"/>
        <w:rPr>
          <w:rFonts w:hint="eastAsia"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（2）本项目不统一组织现场踏勘，由投标人自行踏勘，踏勘有关费用及责任由投标人自行承担。</w:t>
      </w:r>
    </w:p>
    <w:p w14:paraId="174189C1">
      <w:pPr>
        <w:pStyle w:val="3"/>
        <w:keepNext w:val="0"/>
        <w:keepLines w:val="0"/>
        <w:pageBreakBefore w:val="0"/>
        <w:widowControl w:val="0"/>
        <w:kinsoku/>
        <w:wordWrap/>
        <w:overflowPunct/>
        <w:topLinePunct w:val="0"/>
        <w:autoSpaceDE/>
        <w:autoSpaceDN/>
        <w:bidi w:val="0"/>
        <w:spacing w:after="0" w:line="440" w:lineRule="exact"/>
        <w:ind w:firstLine="630" w:firstLineChars="300"/>
        <w:textAlignment w:val="auto"/>
        <w:rPr>
          <w:rFonts w:hint="eastAsia" w:ascii="仿宋" w:hAnsi="仿宋" w:eastAsia="仿宋"/>
          <w:color w:val="000000" w:themeColor="text1"/>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w:t>
      </w:r>
      <w:r>
        <w:rPr>
          <w:rFonts w:hint="eastAsia" w:ascii="仿宋" w:hAnsi="仿宋" w:eastAsia="仿宋"/>
          <w:color w:val="000000" w:themeColor="text1"/>
          <w:lang w:val="en-US" w:eastAsia="zh-CN"/>
          <w14:textFill>
            <w14:solidFill>
              <w14:schemeClr w14:val="tx1"/>
            </w14:solidFill>
          </w14:textFill>
        </w:rPr>
        <w:t>3）</w:t>
      </w:r>
      <w:r>
        <w:rPr>
          <w:rFonts w:hint="eastAsia" w:ascii="仿宋" w:hAnsi="仿宋" w:eastAsia="仿宋"/>
          <w:color w:val="000000" w:themeColor="text1"/>
          <w14:textFill>
            <w14:solidFill>
              <w14:schemeClr w14:val="tx1"/>
            </w14:solidFill>
          </w14:textFill>
        </w:rPr>
        <w:t>知识产权</w:t>
      </w:r>
    </w:p>
    <w:p w14:paraId="2CFF5DB2">
      <w:pPr>
        <w:pStyle w:val="3"/>
        <w:keepNext w:val="0"/>
        <w:keepLines w:val="0"/>
        <w:pageBreakBefore w:val="0"/>
        <w:widowControl w:val="0"/>
        <w:kinsoku/>
        <w:wordWrap/>
        <w:overflowPunct/>
        <w:topLinePunct w:val="0"/>
        <w:autoSpaceDE/>
        <w:autoSpaceDN/>
        <w:bidi w:val="0"/>
        <w:spacing w:after="0" w:line="440" w:lineRule="exact"/>
        <w:ind w:firstLine="630" w:firstLineChars="300"/>
        <w:textAlignment w:val="auto"/>
        <w:rPr>
          <w:rFonts w:hint="eastAsia"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中标人应保证所供货物及软件无知识产权瑕疵，不侵犯第三方合法权益；涉及第三方软件、数据、模型或工具的，应保证使用合法，并向采购人说明授权范围和使用限制。随设备交付的技术资料（说明书、配置文档、培训资料等），采购人有权用于验收、归档、后续系统集成衔接、科研管理及审计；中标人不得以背景技术权属为由限制采购人对本项目交付成果的正常使用、修改、归档和验收。</w:t>
      </w:r>
    </w:p>
    <w:p w14:paraId="186D3FCC">
      <w:pPr>
        <w:keepNext w:val="0"/>
        <w:keepLines w:val="0"/>
        <w:pageBreakBefore w:val="0"/>
        <w:widowControl w:val="0"/>
        <w:kinsoku/>
        <w:wordWrap/>
        <w:overflowPunct/>
        <w:topLinePunct w:val="0"/>
        <w:autoSpaceDE/>
        <w:autoSpaceDN/>
        <w:bidi w:val="0"/>
        <w:spacing w:line="440" w:lineRule="exact"/>
        <w:textAlignment w:val="auto"/>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auto"/>
    <w:pitch w:val="default"/>
    <w:sig w:usb0="E0000AFF" w:usb1="00007843" w:usb2="00000001" w:usb3="00000000" w:csb0="400001BF" w:csb1="DFF70000"/>
  </w:font>
  <w:font w:name="宋体">
    <w:altName w:val="汉仪书宋二KW"/>
    <w:panose1 w:val="02010600030101010101"/>
    <w:charset w:val="80"/>
    <w:family w:val="roman"/>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汉仪中等线KW"/>
    <w:panose1 w:val="00000000000000000000"/>
    <w:charset w:val="86"/>
    <w:family w:val="auto"/>
    <w:pitch w:val="default"/>
    <w:sig w:usb0="00000000" w:usb1="00000000" w:usb2="00000000" w:usb3="00000000" w:csb0="00000000" w:csb1="00000000"/>
  </w:font>
  <w:font w:name="Helvetica Neue">
    <w:panose1 w:val="02000503000000020004"/>
    <w:charset w:val="00"/>
    <w:family w:val="auto"/>
    <w:pitch w:val="default"/>
    <w:sig w:usb0="E50002FF" w:usb1="500079DB" w:usb2="00000010" w:usb3="00000000" w:csb0="00000000" w:csb1="00000000"/>
  </w:font>
  <w:font w:name="黑体">
    <w:altName w:val="汉仪中黑KW"/>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汉仪中等线KW">
    <w:panose1 w:val="01010104010101010101"/>
    <w:charset w:val="86"/>
    <w:family w:val="auto"/>
    <w:pitch w:val="default"/>
    <w:sig w:usb0="800002BF" w:usb1="004F7CFA" w:usb2="00000000" w:usb3="00000000" w:csb0="00040001" w:csb1="00000000"/>
  </w:font>
  <w:font w:name="仿宋">
    <w:altName w:val="仿宋-简"/>
    <w:panose1 w:val="02010609060101010101"/>
    <w:charset w:val="86"/>
    <w:family w:val="modern"/>
    <w:pitch w:val="default"/>
    <w:sig w:usb0="00000000" w:usb1="00000000" w:usb2="00000016" w:usb3="00000000" w:csb0="00040001" w:csb1="00000000"/>
  </w:font>
  <w:font w:name="仿宋-简">
    <w:panose1 w:val="02010609060101010101"/>
    <w:charset w:val="86"/>
    <w:family w:val="auto"/>
    <w:pitch w:val="default"/>
    <w:sig w:usb0="A00002BF" w:usb1="3ACF7CFA" w:usb2="00000016" w:usb3="00000000" w:csb0="00040001" w:csb1="00000000"/>
  </w:font>
  <w:font w:name="仿宋">
    <w:altName w:val="仿宋-简"/>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CB5B2003"/>
    <w:rsid w:val="002D7D94"/>
    <w:rsid w:val="003324AA"/>
    <w:rsid w:val="005013CD"/>
    <w:rsid w:val="009F3F69"/>
    <w:rsid w:val="00CC0718"/>
    <w:rsid w:val="00FC23D1"/>
    <w:rsid w:val="1F129754"/>
    <w:rsid w:val="33641C35"/>
    <w:rsid w:val="3FDB0FA9"/>
    <w:rsid w:val="77BF4A49"/>
    <w:rsid w:val="7DB212DB"/>
    <w:rsid w:val="7FBCDEE8"/>
    <w:rsid w:val="7FFB25E5"/>
    <w:rsid w:val="A5BF51A3"/>
    <w:rsid w:val="ADFF7C6C"/>
    <w:rsid w:val="B7DD73C1"/>
    <w:rsid w:val="BF973A07"/>
    <w:rsid w:val="CB5B2003"/>
    <w:rsid w:val="FD2FCF48"/>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uiPriority w:val="0"/>
    <w:pPr>
      <w:jc w:val="left"/>
    </w:pPr>
  </w:style>
  <w:style w:type="paragraph" w:styleId="3">
    <w:name w:val="Body Text"/>
    <w:basedOn w:val="1"/>
    <w:qFormat/>
    <w:uiPriority w:val="0"/>
    <w:pPr>
      <w:spacing w:after="120"/>
    </w:pPr>
  </w:style>
  <w:style w:type="paragraph" w:styleId="4">
    <w:name w:val="Balloon Text"/>
    <w:basedOn w:val="1"/>
    <w:link w:val="16"/>
    <w:uiPriority w:val="0"/>
    <w:rPr>
      <w:sz w:val="18"/>
      <w:szCs w:val="18"/>
    </w:rPr>
  </w:style>
  <w:style w:type="paragraph" w:styleId="5">
    <w:name w:val="footer"/>
    <w:basedOn w:val="1"/>
    <w:link w:val="13"/>
    <w:uiPriority w:val="0"/>
    <w:pPr>
      <w:tabs>
        <w:tab w:val="center" w:pos="4153"/>
        <w:tab w:val="right" w:pos="8306"/>
      </w:tabs>
      <w:snapToGrid w:val="0"/>
      <w:jc w:val="left"/>
    </w:pPr>
    <w:rPr>
      <w:sz w:val="18"/>
      <w:szCs w:val="18"/>
    </w:rPr>
  </w:style>
  <w:style w:type="paragraph" w:styleId="6">
    <w:name w:val="header"/>
    <w:basedOn w:val="1"/>
    <w:link w:val="12"/>
    <w:uiPriority w:val="0"/>
    <w:pPr>
      <w:pBdr>
        <w:bottom w:val="single" w:color="auto" w:sz="6" w:space="1"/>
      </w:pBdr>
      <w:tabs>
        <w:tab w:val="center" w:pos="4153"/>
        <w:tab w:val="right" w:pos="8306"/>
      </w:tabs>
      <w:snapToGrid w:val="0"/>
      <w:jc w:val="center"/>
    </w:pPr>
    <w:rPr>
      <w:sz w:val="18"/>
      <w:szCs w:val="18"/>
    </w:rPr>
  </w:style>
  <w:style w:type="paragraph" w:styleId="7">
    <w:name w:val="HTML Preformatted"/>
    <w:basedOn w:val="1"/>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rPr>
  </w:style>
  <w:style w:type="paragraph" w:styleId="8">
    <w:name w:val="annotation subject"/>
    <w:basedOn w:val="2"/>
    <w:next w:val="2"/>
    <w:link w:val="15"/>
    <w:uiPriority w:val="0"/>
    <w:rPr>
      <w:b/>
      <w:bCs/>
    </w:rPr>
  </w:style>
  <w:style w:type="character" w:styleId="11">
    <w:name w:val="annotation reference"/>
    <w:basedOn w:val="10"/>
    <w:uiPriority w:val="0"/>
    <w:rPr>
      <w:sz w:val="21"/>
      <w:szCs w:val="21"/>
    </w:rPr>
  </w:style>
  <w:style w:type="character" w:customStyle="1" w:styleId="12">
    <w:name w:val="页眉 字符"/>
    <w:basedOn w:val="10"/>
    <w:link w:val="6"/>
    <w:uiPriority w:val="0"/>
    <w:rPr>
      <w:rFonts w:asciiTheme="minorHAnsi" w:hAnsiTheme="minorHAnsi" w:eastAsiaTheme="minorEastAsia" w:cstheme="minorBidi"/>
      <w:kern w:val="2"/>
      <w:sz w:val="18"/>
      <w:szCs w:val="18"/>
    </w:rPr>
  </w:style>
  <w:style w:type="character" w:customStyle="1" w:styleId="13">
    <w:name w:val="页脚 字符"/>
    <w:basedOn w:val="10"/>
    <w:link w:val="5"/>
    <w:uiPriority w:val="0"/>
    <w:rPr>
      <w:rFonts w:asciiTheme="minorHAnsi" w:hAnsiTheme="minorHAnsi" w:eastAsiaTheme="minorEastAsia" w:cstheme="minorBidi"/>
      <w:kern w:val="2"/>
      <w:sz w:val="18"/>
      <w:szCs w:val="18"/>
    </w:rPr>
  </w:style>
  <w:style w:type="character" w:customStyle="1" w:styleId="14">
    <w:name w:val="批注文字 字符"/>
    <w:basedOn w:val="10"/>
    <w:link w:val="2"/>
    <w:uiPriority w:val="0"/>
    <w:rPr>
      <w:rFonts w:asciiTheme="minorHAnsi" w:hAnsiTheme="minorHAnsi" w:eastAsiaTheme="minorEastAsia" w:cstheme="minorBidi"/>
      <w:kern w:val="2"/>
      <w:sz w:val="21"/>
      <w:szCs w:val="24"/>
    </w:rPr>
  </w:style>
  <w:style w:type="character" w:customStyle="1" w:styleId="15">
    <w:name w:val="批注主题 字符"/>
    <w:basedOn w:val="14"/>
    <w:link w:val="8"/>
    <w:uiPriority w:val="0"/>
    <w:rPr>
      <w:rFonts w:asciiTheme="minorHAnsi" w:hAnsiTheme="minorHAnsi" w:eastAsiaTheme="minorEastAsia" w:cstheme="minorBidi"/>
      <w:b/>
      <w:bCs/>
      <w:kern w:val="2"/>
      <w:sz w:val="21"/>
      <w:szCs w:val="24"/>
    </w:rPr>
  </w:style>
  <w:style w:type="character" w:customStyle="1" w:styleId="16">
    <w:name w:val="批注框文本 字符"/>
    <w:basedOn w:val="10"/>
    <w:link w:val="4"/>
    <w:uiPriority w:val="0"/>
    <w:rPr>
      <w:rFonts w:asciiTheme="minorHAnsi" w:hAnsiTheme="minorHAnsi" w:eastAsiaTheme="minorEastAsia" w:cstheme="minorBidi"/>
      <w:kern w:val="2"/>
      <w:sz w:val="18"/>
      <w:szCs w:val="18"/>
    </w:rPr>
  </w:style>
  <w:style w:type="paragraph" w:customStyle="1" w:styleId="17">
    <w:name w:val="列出段落1"/>
    <w:basedOn w:val="1"/>
    <w:qFormat/>
    <w:uiPriority w:val="0"/>
    <w:pPr>
      <w:ind w:firstLine="420" w:firstLineChars="200"/>
    </w:pPr>
    <w:rPr>
      <w:szCs w:val="2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146</Words>
  <Characters>835</Characters>
  <Lines>6</Lines>
  <Paragraphs>1</Paragraphs>
  <TotalTime>0</TotalTime>
  <ScaleCrop>false</ScaleCrop>
  <LinksUpToDate>false</LinksUpToDate>
  <CharactersWithSpaces>980</CharactersWithSpaces>
  <Application>WPS Office_12.1.28496.28496_F1E327BC-269C-435d-A152-05C5408002CA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2026-09-15T18:00:00Z</dcterms:created>
  <dc:creator>杨金桐</dc:creator>
  <cp:lastModifiedBy>杨金桐</cp:lastModifiedBy>
  <dcterms:modified xsi:type="dcterms:W3CDTF">2026-11-02T10:02:34Z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2052-12.1.28496.28496</vt:lpwstr>
  </property>
  <property fmtid="{D5CDD505-2E9C-101B-9397-08002B2CF9AE}" pid="3" name="ICV">
    <vt:lpwstr>6435129F3873B6463AFEE36A3A480661_43</vt:lpwstr>
  </property>
</Properties>
</file>