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D5109A">
      <w:pPr>
        <w:jc w:val="center"/>
        <w:rPr>
          <w:rFonts w:hint="eastAsia" w:ascii="宋体" w:hAnsi="宋体"/>
          <w:b/>
          <w:bCs/>
          <w:sz w:val="32"/>
          <w:szCs w:val="32"/>
        </w:rPr>
      </w:pPr>
      <w:bookmarkStart w:id="6" w:name="_GoBack"/>
      <w:bookmarkEnd w:id="6"/>
      <w:r>
        <w:rPr>
          <w:rFonts w:hint="eastAsia" w:ascii="宋体" w:hAnsi="宋体"/>
          <w:b/>
          <w:bCs/>
          <w:sz w:val="32"/>
          <w:szCs w:val="32"/>
        </w:rPr>
        <w:t>数字孪生智慧化工实验平台</w:t>
      </w:r>
    </w:p>
    <w:p w14:paraId="099390A0">
      <w:pPr>
        <w:jc w:val="center"/>
        <w:rPr>
          <w:rFonts w:hint="eastAsia"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技术参数</w:t>
      </w:r>
    </w:p>
    <w:p w14:paraId="631B8B54">
      <w:pPr>
        <w:rPr>
          <w:rFonts w:hint="eastAsia" w:ascii="宋体" w:hAnsi="宋体"/>
          <w:b/>
          <w:bCs/>
          <w:sz w:val="28"/>
          <w:szCs w:val="28"/>
        </w:rPr>
      </w:pPr>
    </w:p>
    <w:p w14:paraId="0F23B57F">
      <w:pPr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设备1 液液催化反应实验装置 数量4套</w:t>
      </w:r>
    </w:p>
    <w:p w14:paraId="2D80EAF4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一、设计参数</w:t>
      </w:r>
    </w:p>
    <w:p w14:paraId="45C26570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1.1.操作温度：常温～90℃</w:t>
      </w:r>
    </w:p>
    <w:p w14:paraId="6A146D76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1.2.操作压力：常压</w:t>
      </w:r>
    </w:p>
    <w:p w14:paraId="07C91FD5">
      <w:pPr>
        <w:pStyle w:val="9"/>
        <w:spacing w:after="0"/>
        <w:ind w:left="0" w:leftChars="0" w:firstLine="240" w:firstLineChars="100"/>
        <w:rPr>
          <w:rFonts w:hint="eastAsia" w:ascii="宋体" w:hAnsi="宋体"/>
        </w:rPr>
      </w:pPr>
      <w:r>
        <w:rPr>
          <w:rFonts w:hint="eastAsia" w:ascii="宋体" w:hAnsi="宋体" w:cs="宋体"/>
          <w:color w:val="FF0000"/>
        </w:rPr>
        <w:t>1.3</w:t>
      </w:r>
      <w:r>
        <w:rPr>
          <w:rFonts w:hint="eastAsia" w:ascii="宋体" w:hAnsi="宋体" w:cs="宋体"/>
        </w:rPr>
        <w:t>.体系：邻硝基苯甲醛～乙酰乙酸甲酯、乙酸～正丁醇</w:t>
      </w:r>
    </w:p>
    <w:p w14:paraId="0F14FEF2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二、装置主体参数</w:t>
      </w:r>
    </w:p>
    <w:p w14:paraId="33854795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2.1 送料泵：蠕动泵，泵体转速调节范围为0.1～200rpm，支持连续可调进料；泵头采用六滚轮结构，配置4～20 mA外控模块，可接入控制系统实现远程启停、流量调节及进料速率设定。</w:t>
      </w:r>
    </w:p>
    <w:p w14:paraId="1B17E56A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2.2 反应釜：容积不小于10L，采用双层夹套结构，主体材质为316L不锈钢。釜体配置机械搅拌机构，夹套可与外循环加热水浴连接，反应釜设置上下封头及法兰连接结构，釜体配置支耳，便于与装置框架固定安装。</w:t>
      </w:r>
    </w:p>
    <w:p w14:paraId="7EC8D584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2.3 冷凝器：冷凝器主体材质为304不锈钢，两端封头焊接，外表面采用喷砂处理。要求投标时提供喷砂材质局部图片不少于2张。</w:t>
      </w:r>
    </w:p>
    <w:p w14:paraId="79B42A20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2.4 原料罐：容积不小于5L，材质304不锈钢，两端封头焊接成型，外表面喷砂处理。各储罐底部设置出料接口，并通过独立管路与对应输送泵连接，实现不同原料或辅助液体的独立储存、分路输送和定量加料。要求提供喷砂材质局部图片不少于2张。</w:t>
      </w:r>
    </w:p>
    <w:p w14:paraId="0FC11386">
      <w:pPr>
        <w:pStyle w:val="9"/>
        <w:spacing w:after="0"/>
        <w:ind w:left="239" w:leftChars="114" w:firstLine="0" w:firstLineChars="0"/>
        <w:rPr>
          <w:rFonts w:hint="eastAsia" w:ascii="宋体" w:hAnsi="宋体" w:cs="宋体"/>
        </w:rPr>
      </w:pPr>
      <w:r>
        <w:rPr>
          <w:rFonts w:hint="eastAsia" w:ascii="宋体" w:hAnsi="宋体" w:cs="宋体"/>
          <w:color w:val="FF0000"/>
        </w:rPr>
        <w:t>2.5</w:t>
      </w:r>
      <w:r>
        <w:rPr>
          <w:rFonts w:hint="eastAsia" w:ascii="宋体" w:hAnsi="宋体" w:cs="宋体"/>
        </w:rPr>
        <w:t xml:space="preserve"> 催化剂储罐：容积不小于5L，主体材质为316L不锈钢，两端封头焊接成型，外表面喷砂处理，配罐底阀、加料口、放空阀。要求提供喷砂材质局部图片不少于2张。</w:t>
      </w:r>
    </w:p>
    <w:p w14:paraId="7D16C5EE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2.6 产品罐：容积不小于5L，产品罐采用304不锈钢材质，两端封头焊接成型，外表面喷砂处理。产品罐设置进料口、排液口及放空/排气接口，可满足反应液排放和分离单元前暂存需求。</w:t>
      </w:r>
    </w:p>
    <w:p w14:paraId="6DB43BE3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2.7 水浴：工作电压220V，功率不大于1000W，水浴容积不小于6L，温度控制范围为-5～99℃。水浴通过夹套循环管路与反应釜连接，为反应釜提供稳定热源。要求提供水浴实物照片不少于1张。</w:t>
      </w:r>
    </w:p>
    <w:p w14:paraId="366A5A31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2.8 阀门与管路单元：装置主体管路采用不锈钢管连接，阀门部分采用316L不锈钢球阀。要求提供316L不锈钢球阀实物照片不少于1张。</w:t>
      </w:r>
    </w:p>
    <w:p w14:paraId="168F6DE3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2.9温度检测：铠装热电阻，Pt100，-50～300℃。</w:t>
      </w:r>
    </w:p>
    <w:p w14:paraId="3F62003A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2.10 装置外形尺寸：装置整体外形尺寸不大于1480mm×580mm×2500mm（长*宽*高）。主体采用铝合金框架结构，装置底部配置可升降万向脚轮，脚轮带ABS调节手把，可分别调节高度，满足设备移动、定位及水平调节需求。</w:t>
      </w:r>
    </w:p>
    <w:p w14:paraId="21BA3C6E">
      <w:pPr>
        <w:pStyle w:val="9"/>
        <w:spacing w:after="0"/>
        <w:ind w:left="240" w:leftChars="0" w:hanging="240" w:hangingChars="100"/>
        <w:rPr>
          <w:rFonts w:hint="eastAsia" w:ascii="宋体" w:hAnsi="宋体" w:cs="宋体"/>
        </w:rPr>
      </w:pPr>
      <w:bookmarkStart w:id="0" w:name="OLE_LINK4"/>
      <w:r>
        <w:rPr>
          <w:rFonts w:hint="eastAsia" w:ascii="宋体" w:hAnsi="宋体" w:cs="宋体"/>
          <w:lang w:val="en-US" w:eastAsia="zh-CN"/>
        </w:rPr>
        <w:t xml:space="preserve"> </w:t>
      </w:r>
      <w:r>
        <w:rPr>
          <w:rFonts w:hint="eastAsia" w:ascii="宋体" w:hAnsi="宋体" w:cs="宋体"/>
          <w:color w:val="FF0000"/>
        </w:rPr>
        <w:t>2.11</w:t>
      </w:r>
      <w:r>
        <w:t>提供该装置的工艺流程图</w:t>
      </w:r>
      <w:r>
        <w:rPr>
          <w:rFonts w:hint="eastAsia"/>
        </w:rPr>
        <w:t>及</w:t>
      </w:r>
      <w:r>
        <w:t>彩页，用于评定所投产品的工艺流程及配置是否满足技术要求。</w:t>
      </w:r>
    </w:p>
    <w:bookmarkEnd w:id="0"/>
    <w:p w14:paraId="777BFAE3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3、控制系统参数</w:t>
      </w:r>
    </w:p>
    <w:p w14:paraId="6A54D10C">
      <w:pPr>
        <w:rPr>
          <w:rFonts w:hint="eastAsia" w:ascii="宋体" w:hAnsi="宋体"/>
          <w:sz w:val="24"/>
        </w:rPr>
      </w:pPr>
      <w:bookmarkStart w:id="1" w:name="_Hlk234247433"/>
      <w:r>
        <w:rPr>
          <w:rFonts w:ascii="宋体" w:hAnsi="宋体"/>
          <w:sz w:val="24"/>
        </w:rPr>
        <w:t>3.1 硬件控制部分：</w:t>
      </w:r>
    </w:p>
    <w:p w14:paraId="52E4997E">
      <w:pPr>
        <w:pStyle w:val="9"/>
        <w:spacing w:after="0"/>
        <w:ind w:left="240" w:leftChars="0" w:hanging="240" w:hangingChars="100"/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FF0000"/>
        </w:rPr>
        <w:t>3.1.1</w:t>
      </w:r>
      <w:r>
        <w:rPr>
          <w:rFonts w:ascii="宋体" w:hAnsi="宋体" w:cs="宋体"/>
        </w:rPr>
        <w:t>集成模组：内置12组可任意选配信号板的插槽</w:t>
      </w:r>
      <w:r>
        <w:rPr>
          <w:rFonts w:hint="eastAsia" w:ascii="宋体" w:hAnsi="宋体" w:cs="宋体"/>
        </w:rPr>
        <w:t>。</w:t>
      </w:r>
      <w:r>
        <w:rPr>
          <w:rFonts w:ascii="宋体" w:hAnsi="宋体" w:cs="宋体"/>
        </w:rPr>
        <w:t>具</w:t>
      </w:r>
      <w: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有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路以太网、1路WIFI通讯。内置4G DTU模组，具备物联网数据库交互功能。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要求提供集成模组照片1张，内部集成不低于12组插槽口的正面、反面照片1张。</w:t>
      </w:r>
    </w:p>
    <w:p w14:paraId="26E15256">
      <w:pPr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3.1.2 智联交互终端：</w:t>
      </w:r>
    </w:p>
    <w:p w14:paraId="2D2085BC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ascii="宋体" w:hAnsi="宋体" w:cs="宋体"/>
        </w:rPr>
        <w:t>3.1.2.1</w:t>
      </w:r>
      <w:r>
        <w:rPr>
          <w:rFonts w:hint="eastAsia" w:ascii="宋体" w:hAnsi="宋体" w:cs="宋体"/>
        </w:rPr>
        <w:t>要求交互终端控制屏尺寸</w:t>
      </w:r>
      <w:r>
        <w:rPr>
          <w:rFonts w:ascii="宋体" w:hAnsi="宋体" w:cs="宋体"/>
        </w:rPr>
        <w:t>≥21.5寸，分辨率≥1920*1080，前置摄像头≥200万像素，DDR4内存≥8G，SSD硬盘内存≥128G；内置5G双频WIFI、4G模块、蓝牙模块、密钥接口；内置麦克风及扩音器各1个；网口2个，USB3.0接口4个，独立RS232串口2个，独立RS485接口1个；HDMI接口1个。</w:t>
      </w:r>
    </w:p>
    <w:p w14:paraId="53B744A1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ascii="宋体" w:hAnsi="宋体" w:cs="宋体"/>
        </w:rPr>
        <w:t>3.1.2.2可兼容Windows操作系统，无需外接其他设备可支持安装</w:t>
      </w:r>
      <w:r>
        <w:rPr>
          <w:rFonts w:hint="eastAsia" w:ascii="宋体" w:hAnsi="宋体" w:cs="宋体"/>
        </w:rPr>
        <w:t>Office办公</w:t>
      </w:r>
      <w:r>
        <w:rPr>
          <w:rFonts w:ascii="宋体" w:hAnsi="宋体" w:cs="宋体"/>
        </w:rPr>
        <w:t>软件、人脸识别软件。</w:t>
      </w:r>
    </w:p>
    <w:p w14:paraId="10A9DCE0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ascii="宋体" w:hAnsi="宋体" w:cs="宋体"/>
        </w:rPr>
        <w:t>3.1.2.3采用双节式可移动支架安装在主体框架，柔性可调节</w:t>
      </w:r>
      <w:r>
        <w:rPr>
          <w:rFonts w:hint="eastAsia" w:ascii="宋体" w:hAnsi="宋体" w:cs="宋体"/>
        </w:rPr>
        <w:t>交互终端</w:t>
      </w:r>
      <w:r>
        <w:rPr>
          <w:rFonts w:ascii="宋体" w:hAnsi="宋体" w:cs="宋体"/>
        </w:rPr>
        <w:t>位置、角度。</w:t>
      </w:r>
      <w:bookmarkEnd w:id="1"/>
    </w:p>
    <w:p w14:paraId="6882C412">
      <w:pPr>
        <w:pStyle w:val="9"/>
        <w:spacing w:after="0"/>
        <w:ind w:left="210" w:leftChars="100"/>
        <w:rPr>
          <w:rFonts w:hint="eastAsia" w:ascii="宋体" w:hAnsi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cs="宋体"/>
          <w:color w:val="000000"/>
          <w:kern w:val="0"/>
          <w:szCs w:val="21"/>
          <w:lang w:bidi="ar"/>
        </w:rPr>
        <w:t>4、配套粗苯加氢实验仿真软件技术要求</w:t>
      </w:r>
      <w:r>
        <w:rPr>
          <w:rFonts w:hint="eastAsia" w:ascii="宋体" w:hAnsi="宋体" w:cs="宋体"/>
          <w:color w:val="000000"/>
          <w:kern w:val="0"/>
          <w:szCs w:val="21"/>
          <w:lang w:bidi="ar"/>
        </w:rPr>
        <w:br w:type="textWrapping"/>
      </w:r>
      <w:r>
        <w:rPr>
          <w:rFonts w:hint="eastAsia" w:ascii="宋体" w:hAnsi="宋体" w:cs="宋体"/>
          <w:color w:val="000000"/>
          <w:kern w:val="0"/>
          <w:szCs w:val="21"/>
          <w:lang w:bidi="ar"/>
        </w:rPr>
        <w:t>4.1 3D仿真软件以</w:t>
      </w:r>
      <w:bookmarkStart w:id="2" w:name="_Hlk237521007"/>
      <w:r>
        <w:rPr>
          <w:rFonts w:hint="eastAsia" w:ascii="宋体" w:hAnsi="宋体" w:cs="宋体"/>
          <w:color w:val="000000"/>
          <w:kern w:val="0"/>
          <w:szCs w:val="21"/>
          <w:lang w:bidi="ar"/>
        </w:rPr>
        <w:t>粗苯加氢实验</w:t>
      </w:r>
      <w:bookmarkEnd w:id="2"/>
      <w:r>
        <w:rPr>
          <w:rFonts w:hint="eastAsia" w:ascii="宋体" w:hAnsi="宋体" w:cs="宋体"/>
          <w:color w:val="000000"/>
          <w:kern w:val="0"/>
          <w:szCs w:val="21"/>
          <w:lang w:bidi="ar"/>
        </w:rPr>
        <w:t>为仿真对象，具有操作说明、设备认知、实验操作、数据记录、数据处理、实验报告和评分等不少于7个功能模块，支持桌面端、网页端等至少2种运行方式；</w:t>
      </w:r>
      <w:r>
        <w:rPr>
          <w:rFonts w:hint="eastAsia" w:ascii="宋体" w:hAnsi="宋体" w:cs="宋体"/>
          <w:color w:val="000000"/>
          <w:kern w:val="0"/>
          <w:szCs w:val="21"/>
          <w:lang w:bidi="ar"/>
        </w:rPr>
        <w:br w:type="textWrapping"/>
      </w:r>
      <w:r>
        <w:rPr>
          <w:rFonts w:hint="eastAsia" w:ascii="宋体" w:hAnsi="宋体" w:cs="宋体"/>
          <w:color w:val="000000"/>
          <w:kern w:val="0"/>
          <w:szCs w:val="21"/>
          <w:lang w:bidi="ar"/>
        </w:rPr>
        <w:t>4.2实验操作引导：仿真实验具有实验操作步骤说明和操作引导视频。</w:t>
      </w:r>
      <w:r>
        <w:rPr>
          <w:rFonts w:hint="eastAsia" w:ascii="宋体" w:hAnsi="宋体" w:cs="宋体"/>
          <w:color w:val="000000"/>
          <w:kern w:val="0"/>
          <w:szCs w:val="21"/>
          <w:lang w:bidi="ar"/>
        </w:rPr>
        <w:br w:type="textWrapping"/>
      </w:r>
      <w:r>
        <w:rPr>
          <w:rFonts w:hint="eastAsia" w:ascii="宋体" w:hAnsi="宋体" w:cs="宋体"/>
          <w:color w:val="000000"/>
          <w:kern w:val="0"/>
          <w:szCs w:val="21"/>
          <w:lang w:bidi="ar"/>
        </w:rPr>
        <w:t>4.3粗苯加氢实验仿真认知：包含脱氧反应器、一段反应器、二段反应器、 氢气缓冲罐、原料油罐、冷凝器、气液分离器、电加热炉、气体流量计、液体泵（柱塞泵）、减压阀、背压阀等模型。</w:t>
      </w:r>
      <w:r>
        <w:rPr>
          <w:rFonts w:hint="eastAsia" w:ascii="宋体" w:hAnsi="宋体" w:cs="宋体"/>
          <w:color w:val="000000"/>
          <w:kern w:val="0"/>
          <w:szCs w:val="21"/>
          <w:lang w:bidi="ar"/>
        </w:rPr>
        <w:br w:type="textWrapping"/>
      </w:r>
      <w:r>
        <w:rPr>
          <w:rFonts w:hint="eastAsia" w:ascii="宋体" w:hAnsi="宋体" w:cs="宋体"/>
          <w:color w:val="FF0000"/>
          <w:kern w:val="0"/>
          <w:szCs w:val="21"/>
          <w:lang w:bidi="ar"/>
        </w:rPr>
        <w:t>4.4</w:t>
      </w:r>
      <w:r>
        <w:rPr>
          <w:rFonts w:hint="eastAsia" w:ascii="宋体" w:hAnsi="宋体" w:cs="宋体"/>
          <w:color w:val="000000"/>
          <w:kern w:val="0"/>
          <w:szCs w:val="21"/>
          <w:lang w:bidi="ar"/>
        </w:rPr>
        <w:t>粗苯加氢实验仿真操作具有本地和远程两种控制模式。本地模式：支持通过仿真控制柜设置和调节温度、流量和泵的启停等操作；远程模式：支持通过控制终端的控制软件设置和调节温度、流量和泵的启停等操作。完整模拟粗苯加氢实验流程：包含装置气密性检测、脱氧催化剂激活、硫化操作、加氢反应操作、产物采样与样品分析等实验内容。要求投标时提供相关截图不少于5张。</w:t>
      </w:r>
    </w:p>
    <w:p w14:paraId="7C0CE532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三、配置要求</w:t>
      </w:r>
    </w:p>
    <w:p w14:paraId="15C1BB22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1、装置主体硬件部分</w:t>
      </w:r>
    </w:p>
    <w:p w14:paraId="4434C684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1.1、反应釜1个</w:t>
      </w:r>
    </w:p>
    <w:p w14:paraId="37B09483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1.2、蠕动泵5个</w:t>
      </w:r>
    </w:p>
    <w:p w14:paraId="0C3E4846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1.3、水浴1个</w:t>
      </w:r>
    </w:p>
    <w:p w14:paraId="4C67615F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1.4、储液罐5个</w:t>
      </w:r>
    </w:p>
    <w:p w14:paraId="350F5F57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1.5、冷凝器1个</w:t>
      </w:r>
    </w:p>
    <w:p w14:paraId="29C960AD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2、控制系统</w:t>
      </w:r>
    </w:p>
    <w:p w14:paraId="2D8E9F0C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2.1 总控制柜 1个</w:t>
      </w:r>
    </w:p>
    <w:p w14:paraId="53784CCD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2.2 工业一体化操控终端 1台</w:t>
      </w:r>
    </w:p>
    <w:p w14:paraId="49272C37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2.3 自检测系统软件 1套</w:t>
      </w:r>
    </w:p>
    <w:p w14:paraId="7F889FE5">
      <w:pPr>
        <w:rPr>
          <w:rFonts w:hint="eastAsia" w:ascii="宋体" w:hAnsi="宋体"/>
          <w:b/>
          <w:bCs/>
          <w:sz w:val="28"/>
          <w:szCs w:val="28"/>
        </w:rPr>
      </w:pPr>
    </w:p>
    <w:p w14:paraId="6B21E4C9">
      <w:pPr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设备2 重结晶分离实验装置 数量1套</w:t>
      </w:r>
    </w:p>
    <w:p w14:paraId="02DED9F1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一、</w:t>
      </w:r>
      <w:r>
        <w:rPr>
          <w:rFonts w:ascii="宋体" w:hAnsi="宋体" w:cs="宋体"/>
          <w:b/>
          <w:bCs/>
        </w:rPr>
        <w:t>装置功能</w:t>
      </w:r>
    </w:p>
    <w:p w14:paraId="3A5B977E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1、精准控温，实现降温析晶。</w:t>
      </w:r>
    </w:p>
    <w:p w14:paraId="66CF854E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2、机械搅拌，让物料充分溶解、均匀结晶。</w:t>
      </w:r>
    </w:p>
    <w:p w14:paraId="4239EB96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3、冷凝回流，减少有机溶剂挥发损耗。</w:t>
      </w:r>
    </w:p>
    <w:p w14:paraId="49E17243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4、低温冷却模块，控制降温速率得到规整晶体。</w:t>
      </w:r>
    </w:p>
    <w:p w14:paraId="68E947E2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二、主要技术参数</w:t>
      </w:r>
    </w:p>
    <w:p w14:paraId="5877973F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1、设计参数</w:t>
      </w:r>
    </w:p>
    <w:p w14:paraId="7EF2262C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1.1操作温度：常温～90℃</w:t>
      </w:r>
    </w:p>
    <w:p w14:paraId="118A329D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1.2操作压力：常压</w:t>
      </w:r>
    </w:p>
    <w:p w14:paraId="5C32EBD5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1.3体系：邻硝基苯甲醛～乙酰乙酸甲酯</w:t>
      </w:r>
    </w:p>
    <w:p w14:paraId="62792973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2、装置主体参数</w:t>
      </w:r>
    </w:p>
    <w:p w14:paraId="5D37FDC3">
      <w:pPr>
        <w:pStyle w:val="9"/>
        <w:spacing w:after="0"/>
        <w:ind w:left="240" w:leftChars="0" w:hanging="240" w:hangingChars="100"/>
        <w:rPr>
          <w:rFonts w:hint="eastAsia" w:ascii="宋体" w:hAnsi="宋体" w:cs="宋体"/>
        </w:rPr>
      </w:pPr>
      <w:r>
        <w:rPr>
          <w:rFonts w:hint="eastAsia" w:ascii="宋体" w:hAnsi="宋体" w:cs="宋体"/>
          <w:color w:val="FF0000"/>
        </w:rPr>
        <w:t>2.1</w:t>
      </w:r>
      <w:r>
        <w:rPr>
          <w:rFonts w:hint="eastAsia" w:ascii="宋体" w:hAnsi="宋体" w:cs="宋体"/>
        </w:rPr>
        <w:t>重结晶釜：容积不大于10L，采用双层夹套结构，主体材质为玻璃。釜体配置机械搅拌装置，夹套与外循环水浴连接，可通过循环介质实现釜内物料的加热、保温及低温冷却控制。</w:t>
      </w:r>
    </w:p>
    <w:p w14:paraId="480F0BA3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2.2冷凝器：冷凝器安装于重结晶釜上部气相出口处，两端采用封头焊接结构，冷凝器设置循环水进口和循环水出口，可接入外部循环冷却水。</w:t>
      </w:r>
    </w:p>
    <w:p w14:paraId="043E5857">
      <w:pPr>
        <w:pStyle w:val="9"/>
        <w:spacing w:after="0"/>
        <w:ind w:left="240" w:leftChars="0" w:hanging="240" w:hangingChars="100"/>
        <w:rPr>
          <w:rFonts w:hint="eastAsia" w:ascii="宋体" w:hAnsi="宋体" w:cs="宋体"/>
        </w:rPr>
      </w:pPr>
      <w:r>
        <w:rPr>
          <w:rFonts w:hint="eastAsia" w:ascii="宋体" w:hAnsi="宋体" w:cs="宋体"/>
          <w:color w:val="FF0000"/>
        </w:rPr>
        <w:t>2.3</w:t>
      </w:r>
      <w:r>
        <w:rPr>
          <w:rFonts w:hint="eastAsia" w:ascii="宋体" w:hAnsi="宋体" w:cs="宋体"/>
        </w:rPr>
        <w:t>水浴：水浴工作电压为220V，功率不大于1000W，容积不小于10L，温度控制范围为-20℃～常温，水浴具备外循环功能。要求提供水浴实物照片不少于1张。</w:t>
      </w:r>
    </w:p>
    <w:p w14:paraId="66CFB933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2.4管路：管径≥6mm，材质为不锈钢。</w:t>
      </w:r>
    </w:p>
    <w:p w14:paraId="4A00D130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2.5阀门：卡套球阀、不锈钢球阀。</w:t>
      </w:r>
    </w:p>
    <w:p w14:paraId="1C65FB5A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2.6温度测量采用温度传感器，Pt100，量程-50～300℃，显示分度≤0.1℃。</w:t>
      </w:r>
    </w:p>
    <w:p w14:paraId="0F68682A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2.7流量计：转子流量计，量程为4-40L/h。</w:t>
      </w:r>
    </w:p>
    <w:p w14:paraId="6E177883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2.8装置外形尺寸：不大于1480mm×580mm×2500mm（长*宽*高），主体采用铝合金框架结构，重结晶釜、冷凝器、低温水浴及相关管路集成安装于同一实验平台。装置采用高品质铝合金框架，配有可升降万向脚轮：脚轮带有ABS调节手把，可分别调节高度。</w:t>
      </w:r>
    </w:p>
    <w:p w14:paraId="0DC7651D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2.9</w:t>
      </w:r>
      <w:r>
        <w:t>提供该装置的工艺流程图</w:t>
      </w:r>
      <w:r>
        <w:rPr>
          <w:rFonts w:hint="eastAsia"/>
        </w:rPr>
        <w:t>及</w:t>
      </w:r>
      <w:r>
        <w:t>彩页，用于评定所投产品的工艺流程及配置是否满足技术要求。</w:t>
      </w:r>
    </w:p>
    <w:p w14:paraId="0BE0654E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3、控制系统参数</w:t>
      </w:r>
    </w:p>
    <w:p w14:paraId="3A9B0FCB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ascii="宋体" w:hAnsi="宋体" w:cs="宋体"/>
        </w:rPr>
        <w:t>3.1 硬件控制部分：</w:t>
      </w:r>
    </w:p>
    <w:p w14:paraId="69B9A9E6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ascii="宋体" w:hAnsi="宋体" w:cs="宋体"/>
        </w:rPr>
        <w:t>3.1.1集成模组：内置12组可任意选配信号板的插槽</w:t>
      </w:r>
      <w:r>
        <w:rPr>
          <w:rFonts w:hint="eastAsia" w:ascii="宋体" w:hAnsi="宋体" w:cs="宋体"/>
        </w:rPr>
        <w:t>。</w:t>
      </w:r>
      <w:r>
        <w:rPr>
          <w:rFonts w:ascii="宋体" w:hAnsi="宋体" w:cs="宋体"/>
        </w:rPr>
        <w:t>具有</w:t>
      </w:r>
      <w:r>
        <w:rPr>
          <w:rFonts w:hint="eastAsia" w:ascii="宋体" w:hAnsi="宋体" w:cs="宋体"/>
        </w:rPr>
        <w:t>1</w:t>
      </w:r>
      <w:r>
        <w:rPr>
          <w:rFonts w:ascii="宋体" w:hAnsi="宋体" w:cs="宋体"/>
        </w:rPr>
        <w:t>路以太网、1路WIFI通讯。内置4G DTU模组，具备物联网数据库交互功能。</w:t>
      </w:r>
    </w:p>
    <w:p w14:paraId="12B7BD84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ascii="宋体" w:hAnsi="宋体" w:cs="宋体"/>
        </w:rPr>
        <w:t>3.1.2 智联交互终端：</w:t>
      </w:r>
    </w:p>
    <w:p w14:paraId="2DEE2614">
      <w:pPr>
        <w:pStyle w:val="9"/>
        <w:spacing w:after="0"/>
        <w:ind w:left="240" w:leftChars="0" w:hanging="240" w:hangingChars="100"/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FF0000"/>
        </w:rPr>
        <w:t>3.1.2.1</w:t>
      </w:r>
      <w:r>
        <w:rPr>
          <w:rFonts w:hint="eastAsia" w:ascii="宋体" w:hAnsi="宋体" w:cs="宋体"/>
        </w:rPr>
        <w:t>要求交互终端控制屏尺寸</w:t>
      </w:r>
      <w:r>
        <w:rPr>
          <w:rFonts w:ascii="宋体" w:hAnsi="宋体" w:cs="宋体"/>
        </w:rPr>
        <w:t>≥21.5寸，分辨率≥1920*1080，前置摄像头≥200万像素，DDR4内存≥8G，SSD硬盘内存≥128G；内置5G双频WIFI、4G模块、蓝牙模块、密钥接口；内置麦克风及扩音器各1个</w:t>
      </w:r>
      <w: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；网口2个，USB3.0接口4个，独立RS232串口2个，独立RS485接口1个；HDMI接口1个。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要求提供交互终端控制屏尺寸及各接口证明材料。</w:t>
      </w:r>
    </w:p>
    <w:p w14:paraId="24379ECA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3.1.2.2可兼容Windows操作系统，无需外接其他设备可支持安</w:t>
      </w:r>
      <w:r>
        <w:rPr>
          <w:rFonts w:ascii="宋体" w:hAnsi="宋体" w:cs="宋体"/>
        </w:rPr>
        <w:t>装</w:t>
      </w:r>
      <w:r>
        <w:rPr>
          <w:rFonts w:hint="eastAsia" w:ascii="宋体" w:hAnsi="宋体" w:cs="宋体"/>
        </w:rPr>
        <w:t>Office办公</w:t>
      </w:r>
      <w:r>
        <w:rPr>
          <w:rFonts w:ascii="宋体" w:hAnsi="宋体" w:cs="宋体"/>
        </w:rPr>
        <w:t>软件、人脸识别软件。要求提供在交互终端上安装</w:t>
      </w:r>
      <w:r>
        <w:rPr>
          <w:rFonts w:hint="eastAsia" w:ascii="宋体" w:hAnsi="宋体" w:cs="宋体"/>
        </w:rPr>
        <w:t>Office办公</w:t>
      </w:r>
      <w:r>
        <w:rPr>
          <w:rFonts w:ascii="宋体" w:hAnsi="宋体" w:cs="宋体"/>
        </w:rPr>
        <w:t>软件、人脸识别软件照片1张。</w:t>
      </w:r>
    </w:p>
    <w:p w14:paraId="28CBB5C8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ascii="宋体" w:hAnsi="宋体" w:cs="宋体"/>
        </w:rPr>
        <w:t>3.1.2.3采用双节式可移动支架</w:t>
      </w:r>
      <w:r>
        <w:rPr>
          <w:rFonts w:ascii="宋体" w:hAnsi="宋体"/>
        </w:rPr>
        <w:t>安装在主体框架，柔性可调节</w:t>
      </w:r>
      <w:r>
        <w:rPr>
          <w:rFonts w:hint="eastAsia" w:ascii="宋体" w:hAnsi="宋体"/>
        </w:rPr>
        <w:t>交互终端</w:t>
      </w:r>
      <w:r>
        <w:rPr>
          <w:rFonts w:ascii="宋体" w:hAnsi="宋体"/>
        </w:rPr>
        <w:t>位置、角度</w:t>
      </w:r>
      <w:r>
        <w:rPr>
          <w:rFonts w:hint="eastAsia" w:ascii="宋体" w:hAnsi="宋体" w:cs="宋体"/>
        </w:rPr>
        <w:t>。</w:t>
      </w:r>
    </w:p>
    <w:p w14:paraId="16FAD0A0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三、配置要求</w:t>
      </w:r>
    </w:p>
    <w:p w14:paraId="2F2236C9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1、装置主体硬件部分</w:t>
      </w:r>
    </w:p>
    <w:p w14:paraId="4E9C7A63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1.1、重结晶釜1个</w:t>
      </w:r>
    </w:p>
    <w:p w14:paraId="640FF8BC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1.2、水浴1个</w:t>
      </w:r>
    </w:p>
    <w:p w14:paraId="1AF05CF6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1.3、冷凝器1个</w:t>
      </w:r>
    </w:p>
    <w:p w14:paraId="772500D8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1.4、温度传感器1个</w:t>
      </w:r>
    </w:p>
    <w:p w14:paraId="619E4C16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1.5、阀门若干</w:t>
      </w:r>
    </w:p>
    <w:p w14:paraId="10D9DE4F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1.6、转子流量计1个</w:t>
      </w:r>
    </w:p>
    <w:p w14:paraId="113228E9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2、控制系统</w:t>
      </w:r>
    </w:p>
    <w:p w14:paraId="4C582C90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2.1 总控制柜 1个</w:t>
      </w:r>
    </w:p>
    <w:p w14:paraId="6DB279CF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2.2 工业一体化操控终端 1台</w:t>
      </w:r>
    </w:p>
    <w:p w14:paraId="3CE1DC4B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2.3 自检测系统软件 1套</w:t>
      </w:r>
    </w:p>
    <w:p w14:paraId="729E50D9">
      <w:pPr>
        <w:rPr>
          <w:rFonts w:hint="eastAsia" w:ascii="宋体" w:hAnsi="宋体"/>
          <w:b/>
          <w:bCs/>
          <w:sz w:val="28"/>
          <w:szCs w:val="28"/>
        </w:rPr>
      </w:pPr>
    </w:p>
    <w:p w14:paraId="2282CECD">
      <w:pPr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设备3 精馏分离实验装置 数量2套</w:t>
      </w:r>
    </w:p>
    <w:p w14:paraId="06FC0ADE">
      <w:pPr>
        <w:pStyle w:val="9"/>
        <w:spacing w:after="0"/>
        <w:ind w:left="0" w:leftChars="0"/>
        <w:rPr>
          <w:rFonts w:hint="eastAsia" w:ascii="宋体" w:hAnsi="宋体" w:cs="宋体"/>
        </w:rPr>
      </w:pPr>
      <w:r>
        <w:rPr>
          <w:rFonts w:hint="eastAsia" w:ascii="宋体" w:hAnsi="宋体" w:cs="宋体"/>
          <w:b/>
          <w:bCs/>
        </w:rPr>
        <w:t>一、装置功能要求</w:t>
      </w:r>
    </w:p>
    <w:p w14:paraId="4EA01B12">
      <w:pPr>
        <w:pStyle w:val="9"/>
        <w:spacing w:after="0"/>
        <w:ind w:left="218" w:leftChars="10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1、装置可进行反应精馏操作、普通精馏操作；可连续操作或间歇操作。</w:t>
      </w:r>
    </w:p>
    <w:p w14:paraId="185C1C06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2、塔体采用透明玻璃塔，塔体外壁采用透明导电膜保温，塔内可装填不同的填料。</w:t>
      </w:r>
    </w:p>
    <w:p w14:paraId="600147EC">
      <w:pPr>
        <w:pStyle w:val="9"/>
        <w:spacing w:after="0"/>
        <w:ind w:left="0" w:leftChars="0" w:firstLine="240" w:firstLine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3、塔体预留3～5个侧口，可根据需要进行进、出料和取样、测温用 。</w:t>
      </w:r>
    </w:p>
    <w:p w14:paraId="34AB1230">
      <w:pPr>
        <w:pStyle w:val="9"/>
        <w:spacing w:after="0"/>
        <w:ind w:left="0" w:leftChars="0" w:firstLine="240" w:firstLine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4、装置运行稳定，能调节不同回流比，回流比范围1～+∞。</w:t>
      </w:r>
    </w:p>
    <w:p w14:paraId="6199B92B">
      <w:pPr>
        <w:pStyle w:val="9"/>
        <w:spacing w:after="0"/>
        <w:ind w:left="0" w:leftChars="0"/>
        <w:rPr>
          <w:rFonts w:hint="eastAsia" w:ascii="宋体" w:hAnsi="宋体" w:cs="宋体"/>
        </w:rPr>
      </w:pPr>
      <w:r>
        <w:rPr>
          <w:rFonts w:hint="eastAsia" w:ascii="宋体" w:hAnsi="宋体" w:cs="宋体"/>
          <w:b/>
          <w:bCs/>
        </w:rPr>
        <w:t>二、主要技术参数要求</w:t>
      </w:r>
    </w:p>
    <w:p w14:paraId="507481EB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1、设计要求</w:t>
      </w:r>
    </w:p>
    <w:p w14:paraId="50E43ECE">
      <w:pPr>
        <w:pStyle w:val="9"/>
        <w:spacing w:after="0"/>
        <w:ind w:left="0" w:leftChars="0" w:firstLine="240" w:firstLine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1.1 操作压力：常压。</w:t>
      </w:r>
    </w:p>
    <w:p w14:paraId="4A8A83C2">
      <w:pPr>
        <w:pStyle w:val="9"/>
        <w:spacing w:after="0"/>
        <w:ind w:left="0" w:leftChars="0" w:firstLine="240" w:firstLine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1.2精馏塔材质：透明玻璃。</w:t>
      </w:r>
    </w:p>
    <w:p w14:paraId="7CE20B9D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2、装置主体参数要求</w:t>
      </w:r>
    </w:p>
    <w:p w14:paraId="6178B5C2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2.1 装置主体由玻璃塔体、塔头、玻璃塔釜、进料泵、原料罐、产品罐等组成。</w:t>
      </w:r>
    </w:p>
    <w:p w14:paraId="1B67BFED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2.1.1 玻璃塔体：塔体内径≤20mm，塔填料层高≤1.3m，玻璃外罩直径≤70mm，φ3mm玻璃弹簧填料。塔外壁上、下两段采用透明导电膜加热保温，导电膜功率可调，不影响实验现象观察。</w:t>
      </w:r>
    </w:p>
    <w:p w14:paraId="689C1E49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2.1.2 塔头：自动回流比控制，回流比控制器设置范围1～+∞。</w:t>
      </w:r>
    </w:p>
    <w:p w14:paraId="5C9BC50E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2.1.3 玻璃塔釜：容积≥500mL，功率≥200W，配加料、测温、溢流和取样接口。</w:t>
      </w:r>
    </w:p>
    <w:p w14:paraId="1346BED7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2.1.4 原料罐：容积≥500mL，玻璃材质。</w:t>
      </w:r>
    </w:p>
    <w:p w14:paraId="51D54081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2.1.5 产品罐：容积≥500mL，玻璃材质。</w:t>
      </w:r>
    </w:p>
    <w:p w14:paraId="7494FAB1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2.2 温度测量采用温度传感器，Pt100，显示分度≤0.1℃。</w:t>
      </w:r>
    </w:p>
    <w:p w14:paraId="34F20DED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2.3 进料泵采用蠕动泵，转速范围0.1～200rpm，液体流量可计量。实现液体输送计量精准、稳定性高、安全无污染。</w:t>
      </w:r>
    </w:p>
    <w:p w14:paraId="7299CD66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2.4 U型压差计：±2000Pa，玻璃材质。</w:t>
      </w:r>
    </w:p>
    <w:p w14:paraId="64915168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2.5 装置尺寸不大于1480mm*580mm*2490mm（长*宽*高）。</w:t>
      </w:r>
    </w:p>
    <w:p w14:paraId="73F9EDC9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2.6 装置外观：要求装置采用高品质铝合金框架。装置配有可升降万向脚轮，脚轮带有ABS调节手把，可分别调节高度。配有支撑底座用于固定装置。</w:t>
      </w:r>
    </w:p>
    <w:p w14:paraId="25088A1A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2.7</w:t>
      </w:r>
      <w:r>
        <w:t>提供该装置的工艺流程图</w:t>
      </w:r>
      <w:r>
        <w:rPr>
          <w:rFonts w:hint="eastAsia"/>
        </w:rPr>
        <w:t>及</w:t>
      </w:r>
      <w:r>
        <w:t>彩页，用于评定所投产品的工艺流程及配置是否满足技术要求。</w:t>
      </w:r>
    </w:p>
    <w:p w14:paraId="4AB3445D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3、控制系统参数要求</w:t>
      </w:r>
    </w:p>
    <w:p w14:paraId="295C7DCA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ascii="宋体" w:hAnsi="宋体" w:cs="宋体"/>
        </w:rPr>
        <w:t>3.1 硬件控制部分：</w:t>
      </w:r>
    </w:p>
    <w:p w14:paraId="7D5903EB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ascii="宋体" w:hAnsi="宋体" w:cs="宋体"/>
        </w:rPr>
        <w:t>3.1.1集成模组：内置12组可任意选配信号板的插槽。具有1路以太网、1路WIFI通讯。内置4G DTU模组，具备物联网数据库交互功能。</w:t>
      </w:r>
    </w:p>
    <w:p w14:paraId="06B56A2C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ascii="宋体" w:hAnsi="宋体" w:cs="宋体"/>
        </w:rPr>
        <w:t>3.1.2 智联交互终端：</w:t>
      </w:r>
    </w:p>
    <w:p w14:paraId="664B219E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ascii="宋体" w:hAnsi="宋体" w:cs="宋体"/>
        </w:rPr>
        <w:t>3.1.2.1要求交互终端控制屏尺寸≥21.5寸，分辨率≥1920*1080，前置摄像头≥200万像素，DDR4内存≥8G，SSD硬盘内存≥128G；内置5G双频WIFI、4G模块、蓝牙模块、密钥接口；内置麦克风及扩音器各1个；网口2个，USB3.0接口4个，独立RS232串口2个，独立RS485接口1个；HDMI接口1个。</w:t>
      </w:r>
    </w:p>
    <w:p w14:paraId="337DF50F">
      <w:pPr>
        <w:pStyle w:val="9"/>
        <w:spacing w:after="0"/>
        <w:ind w:left="218" w:leftChars="104" w:firstLine="19" w:firstLineChars="8"/>
        <w:rPr>
          <w:rFonts w:hint="eastAsia" w:ascii="宋体" w:hAnsi="宋体" w:cs="宋体"/>
        </w:rPr>
      </w:pPr>
      <w:r>
        <w:rPr>
          <w:rFonts w:ascii="宋体" w:hAnsi="宋体" w:cs="宋体"/>
        </w:rPr>
        <w:t>3.1.2.2可兼容Windows操作系统，无需外接其他设备可支持安装Office办公软件、人脸识别软件。</w:t>
      </w:r>
    </w:p>
    <w:p w14:paraId="641D6203">
      <w:pPr>
        <w:pStyle w:val="9"/>
        <w:spacing w:after="0"/>
        <w:ind w:left="240" w:leftChars="0" w:hanging="240" w:hangingChars="100"/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FF0000"/>
        </w:rPr>
        <w:t>3.1.2.3</w:t>
      </w:r>
      <w: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采用双节式可移动支架安装在主体框架，柔性可调节交互终端位置、角度。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要求提供智联交互终端移动至不同角度的整体照片3张，须提供所投支架产品的委托检验或测试报告。</w:t>
      </w:r>
    </w:p>
    <w:p w14:paraId="65EB25E1">
      <w:pPr>
        <w:pStyle w:val="9"/>
        <w:spacing w:after="0"/>
        <w:ind w:left="218" w:leftChars="104" w:firstLine="19" w:firstLineChars="8"/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3.2 软件控制部分：装置监测与控制软件，具备自检测功能，提供软件运行界面截图不少于2张。</w:t>
      </w:r>
    </w:p>
    <w:p w14:paraId="0DE1097F">
      <w:pPr>
        <w:pStyle w:val="9"/>
        <w:spacing w:after="0"/>
        <w:ind w:left="0" w:leftChars="0"/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三、</w:t>
      </w:r>
      <w:bookmarkStart w:id="3" w:name="_Hlk234246578"/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配置要求</w:t>
      </w:r>
    </w:p>
    <w:p w14:paraId="0D35FD78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1、装置主体硬件部分</w:t>
      </w:r>
    </w:p>
    <w:bookmarkEnd w:id="3"/>
    <w:p w14:paraId="6B499E23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1.1 玻璃塔体 1套</w:t>
      </w:r>
    </w:p>
    <w:p w14:paraId="024491BD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1.2 塔头 1个</w:t>
      </w:r>
    </w:p>
    <w:p w14:paraId="1B97BE3A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1.3 玻璃塔釜 1个</w:t>
      </w:r>
    </w:p>
    <w:p w14:paraId="27698440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1.4 原料罐 2个</w:t>
      </w:r>
    </w:p>
    <w:p w14:paraId="1603592E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1.5 产品罐 1个</w:t>
      </w:r>
    </w:p>
    <w:p w14:paraId="1980E998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1.6 温度传感器 2个</w:t>
      </w:r>
    </w:p>
    <w:p w14:paraId="018E2252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1.7 进料泵 2台</w:t>
      </w:r>
    </w:p>
    <w:p w14:paraId="44C75CCF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1.8 U型压差计 1个</w:t>
      </w:r>
    </w:p>
    <w:p w14:paraId="2F4053CF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1.9 回流比控制器 1个</w:t>
      </w:r>
    </w:p>
    <w:p w14:paraId="51DBECA3">
      <w:pPr>
        <w:pStyle w:val="9"/>
        <w:spacing w:after="0"/>
        <w:ind w:left="0" w:leftChars="0"/>
        <w:rPr>
          <w:rFonts w:hint="eastAsia" w:ascii="宋体" w:hAnsi="宋体" w:cs="宋体"/>
          <w:b/>
          <w:bCs/>
        </w:rPr>
      </w:pPr>
      <w:bookmarkStart w:id="4" w:name="_Hlk234246545"/>
      <w:r>
        <w:rPr>
          <w:rFonts w:hint="eastAsia" w:ascii="宋体" w:hAnsi="宋体" w:cs="宋体"/>
          <w:b/>
          <w:bCs/>
        </w:rPr>
        <w:t>2、控制系统</w:t>
      </w:r>
    </w:p>
    <w:p w14:paraId="7D120B25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2.1 总控制柜 1个</w:t>
      </w:r>
    </w:p>
    <w:p w14:paraId="384273CB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2.2 工业一体化操控终端 1台</w:t>
      </w:r>
    </w:p>
    <w:p w14:paraId="29C5226D">
      <w:pPr>
        <w:pStyle w:val="9"/>
        <w:spacing w:after="0"/>
        <w:ind w:left="210" w:leftChars="1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2.3 自检测系统软件 1套</w:t>
      </w:r>
      <w:bookmarkEnd w:id="4"/>
    </w:p>
    <w:p w14:paraId="266A6A53">
      <w:pPr>
        <w:rPr>
          <w:rFonts w:hint="eastAsia" w:ascii="宋体" w:hAnsi="宋体"/>
          <w:b/>
          <w:bCs/>
          <w:sz w:val="28"/>
          <w:szCs w:val="28"/>
        </w:rPr>
      </w:pPr>
    </w:p>
    <w:p w14:paraId="7D9D58B6">
      <w:pPr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设备4 智能化液液催化反应实验装置数字孪生系统 数量1套</w:t>
      </w:r>
    </w:p>
    <w:p w14:paraId="620BAAB7"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一、智能化液液催化反应实验装置</w:t>
      </w:r>
    </w:p>
    <w:p w14:paraId="74A11222">
      <w:pPr>
        <w:spacing w:line="276" w:lineRule="auto"/>
        <w:ind w:left="210" w:leftChars="100"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数字孪生系统是面向液液催化反应实验景的可视化智能监控系统，实现装置的虚实映射和实时数据可视化。</w:t>
      </w:r>
    </w:p>
    <w:p w14:paraId="62419284">
      <w:pPr>
        <w:spacing w:line="276" w:lineRule="auto"/>
        <w:ind w:left="210" w:leftChars="1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1.1、系统核心可视化内容包含：实验装置3D模型、温度折线图、泵转速仪</w:t>
      </w:r>
    </w:p>
    <w:p w14:paraId="089ECF03">
      <w:pPr>
        <w:spacing w:line="276" w:lineRule="auto"/>
        <w:ind w:left="210" w:leftChars="1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1.2、温度：支持实时动态绘图，展示瞬时数值和短周期变化趋势。</w:t>
      </w:r>
    </w:p>
    <w:p w14:paraId="4F785FA2">
      <w:pPr>
        <w:spacing w:line="276" w:lineRule="auto"/>
        <w:ind w:left="210" w:leftChars="100"/>
        <w:rPr>
          <w:rFonts w:hint="eastAsia" w:ascii="宋体" w:hAnsi="宋体"/>
          <w:sz w:val="24"/>
        </w:rPr>
      </w:pPr>
      <w:r>
        <w:rPr>
          <w:rFonts w:hint="eastAsia" w:ascii="宋体" w:hAnsi="宋体"/>
          <w:color w:val="FF0000"/>
          <w:sz w:val="24"/>
        </w:rPr>
        <w:t>1.3</w:t>
      </w:r>
      <w:r>
        <w:rPr>
          <w:rFonts w:hint="eastAsia" w:ascii="宋体" w:hAnsi="宋体"/>
          <w:sz w:val="24"/>
        </w:rPr>
        <w:t>、泵转速仪表盘：采用仿真工业表盘样式，实时同步泵转速、介质流量实时数值，表针可随数据动态联动。要求投标时提供该功能截图不少于2张。</w:t>
      </w:r>
    </w:p>
    <w:p w14:paraId="57F9B6DF">
      <w:pPr>
        <w:spacing w:line="276" w:lineRule="auto"/>
        <w:ind w:left="210" w:leftChars="1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1.4、交互方式有：支持旋转、缩放、移动等方式全方位查看设备3D模型；当鼠标悬浮于3D模型上的塔体、罐体、泵、换热器、阀门等位置时，显示对应的名称标签。</w:t>
      </w:r>
    </w:p>
    <w:p w14:paraId="21E96DDE">
      <w:pPr>
        <w:spacing w:line="276" w:lineRule="auto"/>
        <w:ind w:left="210" w:leftChars="100"/>
        <w:rPr>
          <w:rFonts w:hint="eastAsia" w:ascii="宋体" w:hAnsi="宋体"/>
          <w:sz w:val="24"/>
        </w:rPr>
      </w:pPr>
      <w:r>
        <w:rPr>
          <w:rFonts w:hint="eastAsia" w:ascii="宋体" w:hAnsi="宋体"/>
          <w:color w:val="FF0000"/>
          <w:sz w:val="24"/>
        </w:rPr>
        <w:t>1.5</w:t>
      </w:r>
      <w:r>
        <w:rPr>
          <w:rFonts w:hint="eastAsia" w:ascii="宋体" w:hAnsi="宋体"/>
          <w:sz w:val="24"/>
        </w:rPr>
        <w:t>、系统具有设备认知功能，点击设备列表时，视窗自动切换至对应的设备模型并高亮显示，包括：反应釜、原料罐、冷凝器、重结晶釜、产品罐等设备。</w:t>
      </w:r>
      <w:bookmarkStart w:id="5" w:name="_Hlk237520302"/>
      <w:r>
        <w:rPr>
          <w:rFonts w:hint="eastAsia" w:ascii="宋体" w:hAnsi="宋体"/>
          <w:sz w:val="24"/>
        </w:rPr>
        <w:t>要求投标时提供该功能截图不少于3张。</w:t>
      </w:r>
      <w:bookmarkEnd w:id="5"/>
    </w:p>
    <w:p w14:paraId="4985C022">
      <w:pPr>
        <w:spacing w:line="276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二、数字孪生工作站配置</w:t>
      </w:r>
    </w:p>
    <w:p w14:paraId="1328A3DC">
      <w:pPr>
        <w:spacing w:line="276" w:lineRule="auto"/>
        <w:ind w:left="210" w:leftChars="100"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i7（13代）处理器，内存16G，硬盘1TBSSD，显示器27英寸；独立显卡显存4GB，带键盘鼠标。</w:t>
      </w:r>
    </w:p>
    <w:p w14:paraId="2014E1E5">
      <w:pPr>
        <w:spacing w:line="276" w:lineRule="auto"/>
        <w:ind w:left="210" w:leftChars="100"/>
        <w:rPr>
          <w:rFonts w:hint="eastAsia" w:ascii="宋体" w:hAnsi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018"/>
    <w:rsid w:val="00036A3D"/>
    <w:rsid w:val="0007662C"/>
    <w:rsid w:val="000B5E53"/>
    <w:rsid w:val="00133DC1"/>
    <w:rsid w:val="00192C49"/>
    <w:rsid w:val="00293F03"/>
    <w:rsid w:val="002D49FA"/>
    <w:rsid w:val="00445FC4"/>
    <w:rsid w:val="00567683"/>
    <w:rsid w:val="00592FBA"/>
    <w:rsid w:val="005A2261"/>
    <w:rsid w:val="005F5E10"/>
    <w:rsid w:val="005F6E7F"/>
    <w:rsid w:val="006078C8"/>
    <w:rsid w:val="00622889"/>
    <w:rsid w:val="00632643"/>
    <w:rsid w:val="00635C3B"/>
    <w:rsid w:val="00657EE1"/>
    <w:rsid w:val="0085697B"/>
    <w:rsid w:val="00927237"/>
    <w:rsid w:val="00A47EED"/>
    <w:rsid w:val="00B114A8"/>
    <w:rsid w:val="00BA40BB"/>
    <w:rsid w:val="00BB792D"/>
    <w:rsid w:val="00BF0324"/>
    <w:rsid w:val="00C95F60"/>
    <w:rsid w:val="00C961C0"/>
    <w:rsid w:val="00CC50B6"/>
    <w:rsid w:val="00D56D5C"/>
    <w:rsid w:val="00D84A16"/>
    <w:rsid w:val="00D84B3B"/>
    <w:rsid w:val="00E27C6E"/>
    <w:rsid w:val="00E51A9E"/>
    <w:rsid w:val="00E5568A"/>
    <w:rsid w:val="00F15915"/>
    <w:rsid w:val="00F8428B"/>
    <w:rsid w:val="00FE0018"/>
    <w:rsid w:val="00FE5E54"/>
    <w:rsid w:val="07F33DD3"/>
    <w:rsid w:val="080D0E34"/>
    <w:rsid w:val="0C957EC0"/>
    <w:rsid w:val="17A43E1B"/>
    <w:rsid w:val="1DA13BB8"/>
    <w:rsid w:val="2006285E"/>
    <w:rsid w:val="246D0F2E"/>
    <w:rsid w:val="33305086"/>
    <w:rsid w:val="34B048AC"/>
    <w:rsid w:val="354920BB"/>
    <w:rsid w:val="3C7D6BA5"/>
    <w:rsid w:val="3DD8328B"/>
    <w:rsid w:val="440A3E22"/>
    <w:rsid w:val="4B050BA6"/>
    <w:rsid w:val="4DDA14D0"/>
    <w:rsid w:val="52913BC8"/>
    <w:rsid w:val="5668324E"/>
    <w:rsid w:val="5A4F0791"/>
    <w:rsid w:val="5B4C6C92"/>
    <w:rsid w:val="5BCC08D1"/>
    <w:rsid w:val="5CD256B4"/>
    <w:rsid w:val="5E464C0C"/>
    <w:rsid w:val="5EED5FF4"/>
    <w:rsid w:val="5FF44875"/>
    <w:rsid w:val="636B3D8A"/>
    <w:rsid w:val="6FAA4409"/>
    <w:rsid w:val="6FF46EF0"/>
    <w:rsid w:val="791C4A1C"/>
    <w:rsid w:val="7BEE0779"/>
    <w:rsid w:val="7CC3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pPr>
      <w:jc w:val="left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Balloon Text"/>
    <w:basedOn w:val="1"/>
    <w:link w:val="14"/>
    <w:qFormat/>
    <w:uiPriority w:val="0"/>
    <w:rPr>
      <w:sz w:val="18"/>
      <w:szCs w:val="18"/>
    </w:rPr>
  </w:style>
  <w:style w:type="paragraph" w:styleId="5">
    <w:name w:val="footer"/>
    <w:basedOn w:val="1"/>
    <w:link w:val="2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spacing w:before="100" w:beforeAutospacing="1" w:after="100" w:afterAutospacing="1"/>
    </w:pPr>
    <w:rPr>
      <w:rFonts w:ascii="宋体" w:hAnsi="宋体" w:cs="宋体"/>
      <w:sz w:val="24"/>
    </w:rPr>
  </w:style>
  <w:style w:type="paragraph" w:styleId="8">
    <w:name w:val="annotation subject"/>
    <w:basedOn w:val="2"/>
    <w:next w:val="2"/>
    <w:link w:val="15"/>
    <w:qFormat/>
    <w:uiPriority w:val="0"/>
    <w:rPr>
      <w:b/>
      <w:bCs/>
    </w:rPr>
  </w:style>
  <w:style w:type="paragraph" w:styleId="9">
    <w:name w:val="Body Text First Indent 2"/>
    <w:basedOn w:val="3"/>
    <w:unhideWhenUsed/>
    <w:qFormat/>
    <w:uiPriority w:val="99"/>
    <w:rPr>
      <w:rFonts w:ascii="等线" w:hAnsi="等线"/>
      <w:sz w:val="24"/>
    </w:rPr>
  </w:style>
  <w:style w:type="character" w:styleId="12">
    <w:name w:val="annotation reference"/>
    <w:qFormat/>
    <w:uiPriority w:val="0"/>
    <w:rPr>
      <w:sz w:val="21"/>
      <w:szCs w:val="21"/>
    </w:rPr>
  </w:style>
  <w:style w:type="character" w:customStyle="1" w:styleId="13">
    <w:name w:val="批注文字 字符"/>
    <w:link w:val="2"/>
    <w:qFormat/>
    <w:uiPriority w:val="0"/>
    <w:rPr>
      <w:rFonts w:ascii="Calibri" w:hAnsi="Calibri"/>
      <w:kern w:val="2"/>
      <w:sz w:val="21"/>
      <w:szCs w:val="24"/>
    </w:rPr>
  </w:style>
  <w:style w:type="character" w:customStyle="1" w:styleId="14">
    <w:name w:val="批注框文本 字符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5">
    <w:name w:val="批注主题 字符"/>
    <w:link w:val="8"/>
    <w:qFormat/>
    <w:uiPriority w:val="0"/>
    <w:rPr>
      <w:rFonts w:ascii="Calibri" w:hAnsi="Calibri"/>
      <w:b/>
      <w:bCs/>
      <w:kern w:val="2"/>
      <w:sz w:val="21"/>
      <w:szCs w:val="24"/>
    </w:rPr>
  </w:style>
  <w:style w:type="paragraph" w:customStyle="1" w:styleId="16">
    <w:name w:val="彩色列表 - 强调文字颜色 11"/>
    <w:basedOn w:val="1"/>
    <w:qFormat/>
    <w:uiPriority w:val="34"/>
    <w:pPr>
      <w:ind w:firstLine="420" w:firstLineChars="200"/>
    </w:pPr>
    <w:rPr>
      <w:szCs w:val="22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character" w:customStyle="1" w:styleId="19">
    <w:name w:val="页眉 字符"/>
    <w:basedOn w:val="11"/>
    <w:link w:val="6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0">
    <w:name w:val="页脚 字符"/>
    <w:basedOn w:val="11"/>
    <w:link w:val="5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4138</Words>
  <Characters>4780</Characters>
  <Lines>35</Lines>
  <Paragraphs>10</Paragraphs>
  <TotalTime>12</TotalTime>
  <ScaleCrop>false</ScaleCrop>
  <LinksUpToDate>false</LinksUpToDate>
  <CharactersWithSpaces>4860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2020-04-20T01:33:00Z</dcterms:created>
  <dc:creator>Administrator</dc:creator>
  <cp:lastModifiedBy>张帅磊</cp:lastModifiedBy>
  <dcterms:modified xsi:type="dcterms:W3CDTF">2026-09-03T10:39:41Z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AD38AE5597754BBC93EE4BC019CEC5EB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