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A6F087">
      <w:pPr>
        <w:spacing w:line="360" w:lineRule="auto"/>
        <w:jc w:val="center"/>
        <w:rPr>
          <w:rFonts w:hint="eastAsia" w:ascii="宋体" w:hAnsi="宋体" w:eastAsia="宋体" w:cs="Times New Roman"/>
          <w:b/>
          <w:bCs/>
          <w:sz w:val="32"/>
          <w:szCs w:val="32"/>
        </w:rPr>
      </w:pPr>
      <w:r>
        <w:rPr>
          <w:rFonts w:hint="eastAsia" w:ascii="宋体" w:hAnsi="宋体" w:eastAsia="宋体"/>
          <w:b/>
          <w:bCs/>
          <w:sz w:val="30"/>
          <w:szCs w:val="30"/>
        </w:rPr>
        <w:t>技术参数</w:t>
      </w:r>
    </w:p>
    <w:p w14:paraId="69A47A78">
      <w:pPr>
        <w:pStyle w:val="4"/>
        <w:rPr>
          <w:rFonts w:hint="eastAsia"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一、总体技术要求</w:t>
      </w:r>
    </w:p>
    <w:p w14:paraId="65FB42C8">
      <w:pPr>
        <w:pStyle w:val="2"/>
        <w:spacing w:line="360" w:lineRule="auto"/>
        <w:ind w:left="0" w:firstLine="480" w:firstLineChars="200"/>
        <w:rPr>
          <w:rFonts w:hint="eastAsia" w:ascii="宋体" w:hAnsi="宋体" w:cs="宋体"/>
          <w:sz w:val="24"/>
          <w:szCs w:val="24"/>
          <w:lang w:eastAsia="zh-CN"/>
        </w:rPr>
      </w:pPr>
      <w:bookmarkStart w:id="0" w:name="_Hlk191892363"/>
      <w:r>
        <w:rPr>
          <w:rFonts w:hint="eastAsia" w:ascii="宋体" w:hAnsi="宋体" w:cs="宋体"/>
          <w:sz w:val="24"/>
          <w:szCs w:val="24"/>
          <w:lang w:eastAsia="zh-CN"/>
        </w:rPr>
        <w:t>1、现有实验室已布置实验台和仪器设备等设备设施，安装调试期间应注意成品保护，如有损坏将由供货商照价赔偿。如需搬离需取得学院相关负责老师的同意搬离至指定地方。</w:t>
      </w:r>
    </w:p>
    <w:p w14:paraId="733DCFCA">
      <w:pPr>
        <w:pStyle w:val="2"/>
        <w:spacing w:line="360" w:lineRule="auto"/>
        <w:ind w:left="0" w:firstLine="480" w:firstLineChars="200"/>
        <w:rPr>
          <w:rFonts w:hint="eastAsia" w:ascii="宋体" w:hAnsi="宋体" w:cs="宋体"/>
          <w:sz w:val="24"/>
          <w:szCs w:val="24"/>
          <w:lang w:eastAsia="zh-CN"/>
        </w:rPr>
      </w:pPr>
      <w:r>
        <w:rPr>
          <w:rFonts w:hint="eastAsia" w:ascii="宋体" w:hAnsi="宋体" w:cs="宋体"/>
          <w:sz w:val="24"/>
          <w:szCs w:val="24"/>
          <w:lang w:eastAsia="zh-CN"/>
        </w:rPr>
        <w:t>2、设备类均需综合考虑现场实际条件，完成设备及其配套设施的采购、生产、运输、二次搬运、安装、调试、试运行等内容，以满足招标方设备使用需求。</w:t>
      </w:r>
    </w:p>
    <w:p w14:paraId="2559701F">
      <w:pPr>
        <w:pStyle w:val="2"/>
        <w:spacing w:line="360" w:lineRule="auto"/>
        <w:ind w:left="0" w:firstLine="480" w:firstLineChars="200"/>
        <w:rPr>
          <w:rFonts w:hint="eastAsia" w:ascii="宋体" w:hAnsi="宋体" w:cs="宋体"/>
          <w:sz w:val="24"/>
          <w:szCs w:val="24"/>
          <w:lang w:eastAsia="zh-CN"/>
        </w:rPr>
      </w:pPr>
      <w:r>
        <w:rPr>
          <w:rFonts w:hint="eastAsia" w:ascii="宋体" w:hAnsi="宋体" w:cs="宋体"/>
          <w:sz w:val="24"/>
          <w:szCs w:val="24"/>
          <w:lang w:eastAsia="zh-CN"/>
        </w:rPr>
        <w:t>3、设备安装需要在合适时间进行，安装期间为教学期间时，须采取必要措施尽量降低对教学的影响，其安装方案需报物理学院批准。</w:t>
      </w:r>
    </w:p>
    <w:p w14:paraId="732F12ED">
      <w:pPr>
        <w:pStyle w:val="2"/>
        <w:spacing w:line="360" w:lineRule="auto"/>
        <w:ind w:left="0" w:firstLine="480" w:firstLineChars="200"/>
        <w:rPr>
          <w:rFonts w:hint="eastAsia" w:ascii="宋体" w:hAnsi="宋体" w:cs="宋体"/>
          <w:sz w:val="24"/>
          <w:szCs w:val="24"/>
          <w:lang w:eastAsia="zh-CN"/>
        </w:rPr>
      </w:pPr>
      <w:r>
        <w:rPr>
          <w:rFonts w:hint="eastAsia" w:ascii="宋体" w:hAnsi="宋体" w:cs="宋体"/>
          <w:sz w:val="24"/>
          <w:szCs w:val="24"/>
          <w:lang w:eastAsia="zh-CN"/>
        </w:rPr>
        <w:t>4、设备安装与调试规范须满足国家颁布最新规范。</w:t>
      </w:r>
    </w:p>
    <w:bookmarkEnd w:id="0"/>
    <w:p w14:paraId="6FF5FABE">
      <w:pPr>
        <w:spacing w:line="360" w:lineRule="auto"/>
        <w:rPr>
          <w:rFonts w:hint="eastAsia"/>
          <w:sz w:val="24"/>
        </w:rPr>
      </w:pPr>
      <w:r>
        <w:rPr>
          <w:rFonts w:hint="eastAsia" w:ascii="宋体" w:hAnsi="宋体" w:cs="宋体"/>
          <w:b/>
          <w:bCs/>
          <w:sz w:val="24"/>
        </w:rPr>
        <w:t>二、技术参数</w:t>
      </w:r>
    </w:p>
    <w:tbl>
      <w:tblPr>
        <w:tblStyle w:val="10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7"/>
        <w:gridCol w:w="992"/>
        <w:gridCol w:w="875"/>
        <w:gridCol w:w="875"/>
        <w:gridCol w:w="5343"/>
      </w:tblGrid>
      <w:tr w14:paraId="5366A7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6" w:hRule="atLeast"/>
        </w:trPr>
        <w:tc>
          <w:tcPr>
            <w:tcW w:w="2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AF4EE8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2"/>
                <w:lang w:bidi="ar"/>
              </w:rPr>
              <w:t>序号</w:t>
            </w:r>
          </w:p>
        </w:tc>
        <w:tc>
          <w:tcPr>
            <w:tcW w:w="5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</w:tcPr>
          <w:p w14:paraId="4D730B6C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kern w:val="0"/>
                <w:sz w:val="22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2"/>
                <w:lang w:bidi="ar"/>
              </w:rPr>
              <w:t>项目名称</w:t>
            </w:r>
          </w:p>
        </w:tc>
        <w:tc>
          <w:tcPr>
            <w:tcW w:w="5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3708F3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kern w:val="0"/>
                <w:sz w:val="22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2"/>
                <w:lang w:bidi="ar"/>
              </w:rPr>
              <w:t>标的名称</w:t>
            </w:r>
          </w:p>
        </w:tc>
        <w:tc>
          <w:tcPr>
            <w:tcW w:w="520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8A12B6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2"/>
                <w:lang w:bidi="ar"/>
              </w:rPr>
              <w:t>设备名称</w:t>
            </w:r>
          </w:p>
        </w:tc>
        <w:tc>
          <w:tcPr>
            <w:tcW w:w="31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FCC036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2"/>
                <w:lang w:bidi="ar"/>
              </w:rPr>
              <w:t>技术参数</w:t>
            </w:r>
          </w:p>
        </w:tc>
      </w:tr>
      <w:tr w14:paraId="5B54EE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230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42BB8C4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bidi="ar"/>
              </w:rPr>
              <w:t>1</w:t>
            </w:r>
          </w:p>
        </w:tc>
        <w:tc>
          <w:tcPr>
            <w:tcW w:w="589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vAlign w:val="center"/>
          </w:tcPr>
          <w:p w14:paraId="3C5C019C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微纳光纤制备与传感实验系统采购项目</w:t>
            </w:r>
          </w:p>
        </w:tc>
        <w:tc>
          <w:tcPr>
            <w:tcW w:w="520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F31E0CD">
            <w:pPr>
              <w:widowControl/>
              <w:textAlignment w:val="center"/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</w:pPr>
            <w:r>
              <w:rPr>
                <w:rFonts w:hint="eastAsia" w:ascii="宋体" w:hAnsi="宋体" w:eastAsia="宋体"/>
                <w:bCs/>
                <w:szCs w:val="20"/>
              </w:rPr>
              <w:t>微纳光纤制备与传感实验系统</w:t>
            </w:r>
          </w:p>
        </w:tc>
        <w:tc>
          <w:tcPr>
            <w:tcW w:w="520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B67F4F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光谱分析仪</w:t>
            </w:r>
          </w:p>
        </w:tc>
        <w:tc>
          <w:tcPr>
            <w:tcW w:w="31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FC16B4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1、波长范围：600～1700nm</w:t>
            </w:r>
          </w:p>
          <w:p w14:paraId="74FFB1C2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2、波长精度：±0.015nm(1450～1620nm)，±0.1nm(全范围)</w:t>
            </w:r>
          </w:p>
          <w:p w14:paraId="10534C6D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3、波长分辨率设置：设置档位包括0.02、0.05、0.1、0.2、0.5、1、2nm</w:t>
            </w:r>
          </w:p>
          <w:p w14:paraId="66A7A944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4、最小采样分辨率：≤0.001nm</w:t>
            </w:r>
          </w:p>
          <w:p w14:paraId="49159455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5、采样数：101～200001，具备自动设置功能</w:t>
            </w:r>
          </w:p>
          <w:p w14:paraId="5BE859AB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6、功率灵敏度(最高灵敏度模式下)：≤-90dBm(1300～1620nm)、≤-85dBm(1000～1300nm)、≤-60dBm(600～1000nm)</w:t>
            </w:r>
          </w:p>
          <w:p w14:paraId="7BC4D853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7、最大输入功率：≥+20dBm(每通道、全波长范围)</w:t>
            </w:r>
          </w:p>
          <w:p w14:paraId="49ABD4DF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8、动态范围（在0.05nm分辨率条件下）：≥73dB(峰值波长±1.0nm)</w:t>
            </w:r>
          </w:p>
          <w:p w14:paraId="60125E6E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9、自由空间光输入测量：可对单模、多模光纤及自由空间光输入测量,并可对用APC接头输入时的光插入损耗进行修正</w:t>
            </w:r>
          </w:p>
          <w:p w14:paraId="3BBD7F9F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10、APP功能：APP功能，可以支持一键测试DFB-LD，FB-LD以及自定义新功能的扩展</w:t>
            </w:r>
          </w:p>
          <w:p w14:paraId="6FD5D28C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11、波形记录功能：波形数据记录功能自动获取大于60天的功率和波长的变化曲线，且自带解析软件</w:t>
            </w:r>
          </w:p>
          <w:p w14:paraId="3967B9F0">
            <w:pPr>
              <w:pStyle w:val="6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1"/>
                <w:szCs w:val="16"/>
              </w:rPr>
              <w:t>12、内置校准光源：内置校准光源标配校准光源（宽谱光源+乙炔气体腔），无需外置光源即可完成波长和光轴校准</w:t>
            </w:r>
          </w:p>
        </w:tc>
      </w:tr>
      <w:tr w14:paraId="50759F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</w:trPr>
        <w:tc>
          <w:tcPr>
            <w:tcW w:w="23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45CD42D">
            <w:pPr>
              <w:jc w:val="center"/>
              <w:textAlignment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589" w:type="pct"/>
            <w:vMerge w:val="continue"/>
            <w:tcBorders>
              <w:left w:val="single" w:color="000000" w:sz="4" w:space="0"/>
              <w:right w:val="single" w:color="auto" w:sz="4" w:space="0"/>
            </w:tcBorders>
          </w:tcPr>
          <w:p w14:paraId="5844A327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kern w:val="0"/>
                <w:sz w:val="22"/>
                <w:lang w:bidi="ar"/>
              </w:rPr>
            </w:pPr>
          </w:p>
        </w:tc>
        <w:tc>
          <w:tcPr>
            <w:tcW w:w="520" w:type="pct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035B0AA4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szCs w:val="21"/>
              </w:rPr>
            </w:pPr>
          </w:p>
        </w:tc>
        <w:tc>
          <w:tcPr>
            <w:tcW w:w="520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340315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宽光谱光源</w:t>
            </w:r>
          </w:p>
        </w:tc>
        <w:tc>
          <w:tcPr>
            <w:tcW w:w="31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F9C5E4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1、C+L波段，1528</w:t>
            </w:r>
            <w:r>
              <w:rPr>
                <w:rFonts w:hint="eastAsia" w:ascii="宋体" w:hAnsi="宋体" w:eastAsia="宋体" w:cs="宋体"/>
                <w:szCs w:val="21"/>
              </w:rPr>
              <w:t>～</w:t>
            </w: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1603nm</w:t>
            </w:r>
          </w:p>
          <w:p w14:paraId="47298CFA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</w:pPr>
            <w:bookmarkStart w:id="1" w:name="_GoBack"/>
            <w:bookmarkEnd w:id="1"/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2、光谱平坦度:&lt;3dB</w:t>
            </w:r>
          </w:p>
          <w:p w14:paraId="201221CC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3、输出光功率:≥20mW</w:t>
            </w:r>
          </w:p>
          <w:p w14:paraId="72A753D1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4、光纤接头:FC/APC</w:t>
            </w:r>
          </w:p>
          <w:p w14:paraId="24E7174D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bidi="ar"/>
              </w:rPr>
              <w:t>5、通信功能和接口:支持上位机通讯</w:t>
            </w:r>
          </w:p>
        </w:tc>
      </w:tr>
      <w:tr w14:paraId="4190C6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</w:trPr>
        <w:tc>
          <w:tcPr>
            <w:tcW w:w="230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68F9CF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lang w:bidi="ar"/>
              </w:rPr>
            </w:pPr>
          </w:p>
        </w:tc>
        <w:tc>
          <w:tcPr>
            <w:tcW w:w="58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auto" w:sz="4" w:space="0"/>
            </w:tcBorders>
          </w:tcPr>
          <w:p w14:paraId="15446054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kern w:val="0"/>
                <w:sz w:val="22"/>
                <w:lang w:bidi="ar"/>
              </w:rPr>
            </w:pPr>
          </w:p>
        </w:tc>
        <w:tc>
          <w:tcPr>
            <w:tcW w:w="520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9E7D22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szCs w:val="21"/>
              </w:rPr>
            </w:pPr>
          </w:p>
        </w:tc>
        <w:tc>
          <w:tcPr>
            <w:tcW w:w="520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304018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kern w:val="0"/>
                <w:sz w:val="22"/>
                <w:lang w:bidi="ar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光纤拉锥机</w:t>
            </w:r>
          </w:p>
        </w:tc>
        <w:tc>
          <w:tcPr>
            <w:tcW w:w="31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E41CDA">
            <w:pPr>
              <w:widowControl/>
              <w:jc w:val="left"/>
              <w:textAlignment w:val="center"/>
              <w:rPr>
                <w:rFonts w:hint="eastAsia"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1、夹具拉伸范围：20</w:t>
            </w:r>
            <w:r>
              <w:rPr>
                <w:rFonts w:hint="eastAsia" w:ascii="宋体" w:hAnsi="宋体" w:eastAsia="宋体" w:cs="宋体"/>
                <w:szCs w:val="21"/>
              </w:rPr>
              <w:t>～</w:t>
            </w:r>
            <w:r>
              <w:rPr>
                <w:rFonts w:hint="eastAsia" w:ascii="宋体" w:hAnsi="宋体" w:eastAsia="宋体"/>
              </w:rPr>
              <w:t>140mm</w:t>
            </w:r>
          </w:p>
          <w:p w14:paraId="2F33AD24">
            <w:pPr>
              <w:widowControl/>
              <w:jc w:val="left"/>
              <w:textAlignment w:val="center"/>
              <w:rPr>
                <w:rFonts w:hint="eastAsia"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2、夹具拉伸精度：≤0.75um/step</w:t>
            </w:r>
          </w:p>
          <w:p w14:paraId="6C85FEAA">
            <w:pPr>
              <w:widowControl/>
              <w:jc w:val="left"/>
              <w:textAlignment w:val="center"/>
              <w:rPr>
                <w:rFonts w:hint="eastAsia"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3、火头运动范围：≥70mm</w:t>
            </w:r>
          </w:p>
          <w:p w14:paraId="6B87AFA0">
            <w:pPr>
              <w:widowControl/>
              <w:jc w:val="left"/>
              <w:textAlignment w:val="center"/>
              <w:rPr>
                <w:rFonts w:hint="eastAsia"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4、火头运动精度：≤0.75um/step</w:t>
            </w:r>
          </w:p>
          <w:p w14:paraId="4F696E4E">
            <w:pPr>
              <w:widowControl/>
              <w:jc w:val="left"/>
              <w:textAlignment w:val="center"/>
              <w:rPr>
                <w:rFonts w:hint="eastAsia"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5、氢气设置范围：0</w:t>
            </w:r>
            <w:r>
              <w:rPr>
                <w:rFonts w:hint="eastAsia" w:ascii="宋体" w:hAnsi="宋体" w:eastAsia="宋体" w:cs="宋体"/>
                <w:szCs w:val="21"/>
              </w:rPr>
              <w:t>～</w:t>
            </w:r>
            <w:r>
              <w:rPr>
                <w:rFonts w:hint="eastAsia" w:ascii="宋体" w:hAnsi="宋体" w:eastAsia="宋体"/>
              </w:rPr>
              <w:t>300SCCM</w:t>
            </w:r>
          </w:p>
          <w:p w14:paraId="1AB996CE">
            <w:pPr>
              <w:widowControl/>
              <w:jc w:val="left"/>
              <w:textAlignment w:val="center"/>
              <w:rPr>
                <w:rFonts w:hint="eastAsia"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6、氧气设置范围：0</w:t>
            </w:r>
            <w:r>
              <w:rPr>
                <w:rFonts w:hint="eastAsia" w:ascii="宋体" w:hAnsi="宋体" w:eastAsia="宋体" w:cs="宋体"/>
                <w:szCs w:val="21"/>
              </w:rPr>
              <w:t>～</w:t>
            </w:r>
            <w:r>
              <w:rPr>
                <w:rFonts w:hint="eastAsia" w:ascii="宋体" w:hAnsi="宋体" w:eastAsia="宋体"/>
              </w:rPr>
              <w:t>100SCCM</w:t>
            </w:r>
          </w:p>
          <w:p w14:paraId="5CDB28F6">
            <w:pPr>
              <w:widowControl/>
              <w:jc w:val="left"/>
              <w:textAlignment w:val="center"/>
              <w:rPr>
                <w:rFonts w:hint="eastAsia"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7、拉力设置范围：≥5000g (MAX)</w:t>
            </w:r>
          </w:p>
          <w:p w14:paraId="5EBF542F">
            <w:pPr>
              <w:widowControl/>
              <w:jc w:val="left"/>
              <w:textAlignment w:val="center"/>
              <w:rPr>
                <w:rFonts w:hint="eastAsia"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8、切割刀调节：软件可调</w:t>
            </w:r>
          </w:p>
          <w:p w14:paraId="6D0D81B6">
            <w:pPr>
              <w:widowControl/>
              <w:jc w:val="left"/>
              <w:textAlignment w:val="center"/>
              <w:rPr>
                <w:rFonts w:hint="eastAsia"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9、切割方式：陶瓷震动</w:t>
            </w:r>
          </w:p>
          <w:p w14:paraId="33EA60CF">
            <w:pPr>
              <w:widowControl/>
              <w:jc w:val="left"/>
              <w:textAlignment w:val="center"/>
              <w:rPr>
                <w:rFonts w:hint="eastAsia"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10、CCD 检测：≥500W像素、监控测量</w:t>
            </w:r>
          </w:p>
        </w:tc>
      </w:tr>
    </w:tbl>
    <w:p w14:paraId="41607284">
      <w:pPr>
        <w:pStyle w:val="13"/>
        <w:rPr>
          <w:rFonts w:hint="eastAsia"/>
        </w:rPr>
      </w:pPr>
    </w:p>
    <w:p w14:paraId="63E946C3">
      <w:pPr>
        <w:pStyle w:val="13"/>
        <w:rPr>
          <w:rFonts w:hint="eastAsia"/>
        </w:rPr>
      </w:pPr>
    </w:p>
    <w:p w14:paraId="2049FE59">
      <w:pPr>
        <w:pStyle w:val="13"/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宋体.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F85"/>
    <w:rsid w:val="00024E87"/>
    <w:rsid w:val="00032BA1"/>
    <w:rsid w:val="00094EFE"/>
    <w:rsid w:val="000D21D9"/>
    <w:rsid w:val="001008E2"/>
    <w:rsid w:val="00111CA8"/>
    <w:rsid w:val="00140A77"/>
    <w:rsid w:val="00146CBA"/>
    <w:rsid w:val="001934DB"/>
    <w:rsid w:val="001A1813"/>
    <w:rsid w:val="001A4E71"/>
    <w:rsid w:val="001E3CFA"/>
    <w:rsid w:val="001E502D"/>
    <w:rsid w:val="002413B4"/>
    <w:rsid w:val="002A2D52"/>
    <w:rsid w:val="002D5342"/>
    <w:rsid w:val="003351BA"/>
    <w:rsid w:val="00350E78"/>
    <w:rsid w:val="003C600A"/>
    <w:rsid w:val="003D5303"/>
    <w:rsid w:val="003F6AD6"/>
    <w:rsid w:val="00421139"/>
    <w:rsid w:val="00455629"/>
    <w:rsid w:val="00463566"/>
    <w:rsid w:val="004843AE"/>
    <w:rsid w:val="00560C78"/>
    <w:rsid w:val="00560CE3"/>
    <w:rsid w:val="00591E0E"/>
    <w:rsid w:val="005B70A6"/>
    <w:rsid w:val="00617215"/>
    <w:rsid w:val="00622316"/>
    <w:rsid w:val="00666573"/>
    <w:rsid w:val="00667B4A"/>
    <w:rsid w:val="006745C6"/>
    <w:rsid w:val="006941BF"/>
    <w:rsid w:val="006A50FD"/>
    <w:rsid w:val="006B05F9"/>
    <w:rsid w:val="00717631"/>
    <w:rsid w:val="00786020"/>
    <w:rsid w:val="008039B8"/>
    <w:rsid w:val="00822482"/>
    <w:rsid w:val="00844833"/>
    <w:rsid w:val="008C4C3F"/>
    <w:rsid w:val="008E4BEF"/>
    <w:rsid w:val="008E5059"/>
    <w:rsid w:val="00932C99"/>
    <w:rsid w:val="00950F02"/>
    <w:rsid w:val="00986275"/>
    <w:rsid w:val="00A27BB9"/>
    <w:rsid w:val="00A34E5D"/>
    <w:rsid w:val="00A71076"/>
    <w:rsid w:val="00AA0DDC"/>
    <w:rsid w:val="00AA71DB"/>
    <w:rsid w:val="00AD192B"/>
    <w:rsid w:val="00AF724A"/>
    <w:rsid w:val="00B0404A"/>
    <w:rsid w:val="00B506EE"/>
    <w:rsid w:val="00B765E3"/>
    <w:rsid w:val="00B86CED"/>
    <w:rsid w:val="00B8700B"/>
    <w:rsid w:val="00BA570C"/>
    <w:rsid w:val="00BC4BE1"/>
    <w:rsid w:val="00BD1751"/>
    <w:rsid w:val="00BE0F85"/>
    <w:rsid w:val="00BF31D1"/>
    <w:rsid w:val="00C1787D"/>
    <w:rsid w:val="00C263DE"/>
    <w:rsid w:val="00C4282E"/>
    <w:rsid w:val="00CC44D8"/>
    <w:rsid w:val="00CD4951"/>
    <w:rsid w:val="00D07429"/>
    <w:rsid w:val="00D47EC9"/>
    <w:rsid w:val="00D628E9"/>
    <w:rsid w:val="00D72424"/>
    <w:rsid w:val="00DC24F8"/>
    <w:rsid w:val="00DC3E21"/>
    <w:rsid w:val="00DE058E"/>
    <w:rsid w:val="00E1556C"/>
    <w:rsid w:val="00E32295"/>
    <w:rsid w:val="00E3295F"/>
    <w:rsid w:val="00E77388"/>
    <w:rsid w:val="00E955C3"/>
    <w:rsid w:val="00ED4FDE"/>
    <w:rsid w:val="00F05122"/>
    <w:rsid w:val="00F2704D"/>
    <w:rsid w:val="00F54A0A"/>
    <w:rsid w:val="00F60980"/>
    <w:rsid w:val="00FD081A"/>
    <w:rsid w:val="00FD6253"/>
    <w:rsid w:val="00FF19EF"/>
    <w:rsid w:val="00FF605C"/>
    <w:rsid w:val="048320DB"/>
    <w:rsid w:val="07E617C7"/>
    <w:rsid w:val="0D717911"/>
    <w:rsid w:val="0EE75543"/>
    <w:rsid w:val="12F053A2"/>
    <w:rsid w:val="132F06F4"/>
    <w:rsid w:val="19A763DF"/>
    <w:rsid w:val="24003A9F"/>
    <w:rsid w:val="2ADA24E5"/>
    <w:rsid w:val="35297D73"/>
    <w:rsid w:val="35E97987"/>
    <w:rsid w:val="36726D5A"/>
    <w:rsid w:val="38495C2D"/>
    <w:rsid w:val="38DB38F8"/>
    <w:rsid w:val="40217952"/>
    <w:rsid w:val="40633332"/>
    <w:rsid w:val="454D6620"/>
    <w:rsid w:val="49700178"/>
    <w:rsid w:val="4CF06A1A"/>
    <w:rsid w:val="519D16AB"/>
    <w:rsid w:val="54F71CD3"/>
    <w:rsid w:val="568C48A5"/>
    <w:rsid w:val="59D93E6F"/>
    <w:rsid w:val="5B936DED"/>
    <w:rsid w:val="60E5773E"/>
    <w:rsid w:val="60F93CB5"/>
    <w:rsid w:val="613369F1"/>
    <w:rsid w:val="668F32F8"/>
    <w:rsid w:val="6A8F2898"/>
    <w:rsid w:val="6CC46724"/>
    <w:rsid w:val="6EDD102F"/>
    <w:rsid w:val="79EF6E22"/>
    <w:rsid w:val="7DD2361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nhideWhenUsed="0" w:uiPriority="0" w:semiHidden="0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iPriority="99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59" w:lineRule="auto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1">
    <w:name w:val="Default Paragraph Font"/>
    <w:semiHidden/>
    <w:unhideWhenUsed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uiPriority w:val="0"/>
    <w:pPr>
      <w:spacing w:after="0" w:line="240" w:lineRule="atLeast"/>
      <w:ind w:left="900" w:hanging="900"/>
      <w:jc w:val="left"/>
    </w:pPr>
    <w:rPr>
      <w:rFonts w:ascii="Times New Roman" w:hAnsi="Times New Roman" w:eastAsia="宋体" w:cs="Times New Roman"/>
      <w:kern w:val="0"/>
      <w:sz w:val="20"/>
      <w:szCs w:val="20"/>
      <w:lang w:eastAsia="en-US"/>
    </w:rPr>
  </w:style>
  <w:style w:type="paragraph" w:styleId="3">
    <w:name w:val="annotation text"/>
    <w:basedOn w:val="1"/>
    <w:semiHidden/>
    <w:unhideWhenUsed/>
    <w:qFormat/>
    <w:uiPriority w:val="99"/>
    <w:pPr>
      <w:jc w:val="left"/>
    </w:pPr>
  </w:style>
  <w:style w:type="paragraph" w:styleId="4">
    <w:name w:val="Body Text"/>
    <w:basedOn w:val="1"/>
    <w:link w:val="25"/>
    <w:qFormat/>
    <w:uiPriority w:val="0"/>
    <w:pPr>
      <w:spacing w:after="120"/>
    </w:pPr>
  </w:style>
  <w:style w:type="paragraph" w:styleId="5">
    <w:name w:val="Balloon Text"/>
    <w:basedOn w:val="1"/>
    <w:link w:val="17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6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semiHidden/>
    <w:unhideWhenUsed/>
    <w:qFormat/>
    <w:uiPriority w:val="99"/>
    <w:rPr>
      <w:sz w:val="24"/>
    </w:rPr>
  </w:style>
  <w:style w:type="paragraph" w:styleId="9">
    <w:name w:val="Body Text First Indent"/>
    <w:basedOn w:val="4"/>
    <w:unhideWhenUsed/>
    <w:qFormat/>
    <w:uiPriority w:val="99"/>
    <w:pPr>
      <w:ind w:firstLine="420" w:firstLineChars="100"/>
    </w:pPr>
  </w:style>
  <w:style w:type="character" w:styleId="12">
    <w:name w:val="annotation reference"/>
    <w:basedOn w:val="11"/>
    <w:semiHidden/>
    <w:unhideWhenUsed/>
    <w:qFormat/>
    <w:uiPriority w:val="99"/>
    <w:rPr>
      <w:sz w:val="16"/>
      <w:szCs w:val="16"/>
    </w:rPr>
  </w:style>
  <w:style w:type="paragraph" w:customStyle="1" w:styleId="13">
    <w:name w:val="BodyText"/>
    <w:basedOn w:val="1"/>
    <w:qFormat/>
    <w:uiPriority w:val="0"/>
    <w:pPr>
      <w:spacing w:after="120"/>
    </w:pPr>
    <w:rPr>
      <w:kern w:val="0"/>
      <w:sz w:val="20"/>
    </w:rPr>
  </w:style>
  <w:style w:type="character" w:customStyle="1" w:styleId="14">
    <w:name w:val="页眉 字符"/>
    <w:basedOn w:val="11"/>
    <w:link w:val="7"/>
    <w:qFormat/>
    <w:uiPriority w:val="99"/>
    <w:rPr>
      <w:sz w:val="18"/>
      <w:szCs w:val="18"/>
    </w:rPr>
  </w:style>
  <w:style w:type="character" w:customStyle="1" w:styleId="15">
    <w:name w:val="页脚 字符"/>
    <w:basedOn w:val="11"/>
    <w:link w:val="6"/>
    <w:qFormat/>
    <w:uiPriority w:val="99"/>
    <w:rPr>
      <w:sz w:val="18"/>
      <w:szCs w:val="18"/>
    </w:rPr>
  </w:style>
  <w:style w:type="paragraph" w:customStyle="1" w:styleId="16">
    <w:name w:val="商发正文"/>
    <w:qFormat/>
    <w:locked/>
    <w:uiPriority w:val="5"/>
    <w:pPr>
      <w:widowControl w:val="0"/>
      <w:adjustRightInd w:val="0"/>
      <w:snapToGrid w:val="0"/>
      <w:spacing w:after="160" w:line="300" w:lineRule="auto"/>
      <w:ind w:firstLine="200" w:firstLineChars="200"/>
      <w:jc w:val="both"/>
    </w:pPr>
    <w:rPr>
      <w:rFonts w:ascii="Times New Roman" w:hAnsi="Times New Roman" w:eastAsia="宋体" w:cs="Times New Roman"/>
      <w:color w:val="000000"/>
      <w:kern w:val="2"/>
      <w:sz w:val="24"/>
      <w:szCs w:val="21"/>
      <w:lang w:val="en-US" w:eastAsia="zh-CN" w:bidi="ar-SA"/>
    </w:rPr>
  </w:style>
  <w:style w:type="character" w:customStyle="1" w:styleId="17">
    <w:name w:val="批注框文本 字符"/>
    <w:basedOn w:val="11"/>
    <w:link w:val="5"/>
    <w:semiHidden/>
    <w:qFormat/>
    <w:uiPriority w:val="99"/>
    <w:rPr>
      <w:rFonts w:ascii="Segoe UI" w:hAnsi="Segoe UI" w:cs="Segoe UI" w:eastAsiaTheme="minorEastAsia"/>
      <w:kern w:val="2"/>
      <w:sz w:val="18"/>
      <w:szCs w:val="18"/>
    </w:rPr>
  </w:style>
  <w:style w:type="character" w:customStyle="1" w:styleId="18">
    <w:name w:val="NormalCharacter"/>
    <w:qFormat/>
    <w:uiPriority w:val="0"/>
  </w:style>
  <w:style w:type="paragraph" w:customStyle="1" w:styleId="19">
    <w:name w:val="msolistparagraph"/>
    <w:basedOn w:val="1"/>
    <w:qFormat/>
    <w:uiPriority w:val="0"/>
    <w:pPr>
      <w:spacing w:after="0"/>
      <w:ind w:firstLine="420" w:firstLineChars="200"/>
    </w:pPr>
    <w:rPr>
      <w:rFonts w:ascii="Cambria" w:hAnsi="Cambria" w:eastAsia="宋体" w:cs="Times New Roman"/>
      <w:sz w:val="24"/>
      <w:szCs w:val="24"/>
    </w:rPr>
  </w:style>
  <w:style w:type="paragraph" w:styleId="20">
    <w:name w:val="List Paragraph"/>
    <w:basedOn w:val="1"/>
    <w:qFormat/>
    <w:uiPriority w:val="34"/>
    <w:pPr>
      <w:ind w:firstLine="420" w:firstLineChars="200"/>
    </w:pPr>
  </w:style>
  <w:style w:type="character" w:customStyle="1" w:styleId="21">
    <w:name w:val="font21"/>
    <w:basedOn w:val="11"/>
    <w:qFormat/>
    <w:uiPriority w:val="0"/>
    <w:rPr>
      <w:rFonts w:hint="eastAsia" w:ascii="仿宋" w:hAnsi="仿宋" w:eastAsia="仿宋" w:cs="仿宋"/>
      <w:color w:val="000000"/>
      <w:sz w:val="21"/>
      <w:szCs w:val="21"/>
      <w:u w:val="none"/>
    </w:rPr>
  </w:style>
  <w:style w:type="character" w:customStyle="1" w:styleId="22">
    <w:name w:val="font31"/>
    <w:basedOn w:val="11"/>
    <w:qFormat/>
    <w:uiPriority w:val="0"/>
    <w:rPr>
      <w:rFonts w:hint="eastAsia" w:ascii="仿宋" w:hAnsi="仿宋" w:eastAsia="仿宋" w:cs="仿宋"/>
      <w:b/>
      <w:bCs/>
      <w:color w:val="FF0000"/>
      <w:sz w:val="21"/>
      <w:szCs w:val="21"/>
      <w:u w:val="none"/>
    </w:rPr>
  </w:style>
  <w:style w:type="paragraph" w:customStyle="1" w:styleId="23">
    <w:name w:val="正文_0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24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." w:hAnsi="Calibri" w:eastAsia="宋体." w:cs="宋体."/>
      <w:color w:val="000000"/>
      <w:sz w:val="24"/>
      <w:szCs w:val="24"/>
      <w:lang w:val="en-US" w:eastAsia="zh-CN" w:bidi="ar-SA"/>
    </w:rPr>
  </w:style>
  <w:style w:type="character" w:customStyle="1" w:styleId="25">
    <w:name w:val="正文文本 字符"/>
    <w:link w:val="4"/>
    <w:uiPriority w:val="0"/>
    <w:rPr>
      <w:rFonts w:asciiTheme="minorHAnsi" w:hAnsiTheme="minorHAnsi" w:eastAsiaTheme="minorEastAsia" w:cstheme="minorBidi"/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870</Words>
  <Characters>1089</Characters>
  <Lines>8</Lines>
  <Paragraphs>2</Paragraphs>
  <TotalTime>145</TotalTime>
  <ScaleCrop>false</ScaleCrop>
  <LinksUpToDate>false</LinksUpToDate>
  <CharactersWithSpaces>1091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2020-01-06T07:51:00Z</dcterms:created>
  <dc:creator>素平 潘</dc:creator>
  <cp:lastModifiedBy>段池</cp:lastModifiedBy>
  <dcterms:modified xsi:type="dcterms:W3CDTF">2025-11-13T00:31:33Z</dcterms:modified>
  <cp:revision>48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95258A5BCA794A7193DAC925F5F38BCE</vt:lpwstr>
  </property>
  <property fmtid="{D5CDD505-2E9C-101B-9397-08002B2CF9AE}" pid="4" name="KSOTemplateDocerSaveRecord">
    <vt:lpwstr>eyJoZGlkIjoiMmVkMDYxNzg5YmJlZTUyODViYzkzNjVhMDVhMDUzYTYiLCJ1c2VySWQiOiIxNjg1MTkxNzc3In0=</vt:lpwstr>
  </property>
</Properties>
</file>