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F09F">
      <w:pPr>
        <w:adjustRightInd w:val="0"/>
        <w:snapToGrid w:val="0"/>
        <w:spacing w:after="100" w:afterAutospacing="1" w:line="640" w:lineRule="exact"/>
        <w:ind w:firstLine="0" w:firstLineChars="0"/>
        <w:jc w:val="center"/>
        <w:rPr>
          <w:rFonts w:ascii="Times New Roman" w:hAnsi="Times New Roman" w:cs="Times New Roman"/>
          <w:b/>
          <w:sz w:val="32"/>
          <w:szCs w:val="32"/>
        </w:rPr>
      </w:pPr>
      <w:r>
        <w:rPr>
          <w:rFonts w:ascii="Times New Roman" w:hAnsi="Times New Roman" w:cs="Times New Roman"/>
          <w:b/>
          <w:sz w:val="32"/>
          <w:szCs w:val="32"/>
        </w:rPr>
        <w:t>技术要求</w:t>
      </w:r>
    </w:p>
    <w:p w14:paraId="147FC3AE">
      <w:pPr>
        <w:pStyle w:val="2"/>
        <w:rPr>
          <w:rFonts w:ascii="Times New Roman" w:hAnsi="Times New Roman" w:eastAsia="仿宋" w:cs="Times New Roman"/>
        </w:rPr>
      </w:pPr>
      <w:r>
        <w:rPr>
          <w:rFonts w:ascii="Times New Roman" w:hAnsi="Times New Roman" w:eastAsia="仿宋" w:cs="Times New Roman"/>
          <w:color w:val="auto"/>
        </w:rPr>
        <w:t>1.采购内容</w:t>
      </w:r>
    </w:p>
    <w:p w14:paraId="58BCA05E">
      <w:pPr>
        <w:ind w:firstLine="440"/>
        <w:jc w:val="both"/>
        <w:rPr>
          <w:rFonts w:ascii="Times New Roman" w:hAnsi="Times New Roman" w:eastAsia="仿宋" w:cs="Times New Roman"/>
        </w:rPr>
      </w:pPr>
      <w:bookmarkStart w:id="0" w:name="_Hlk214978042"/>
      <w:r>
        <w:rPr>
          <w:rFonts w:ascii="Times New Roman" w:hAnsi="Times New Roman" w:eastAsia="仿宋" w:cs="Times New Roman"/>
        </w:rPr>
        <w:t>进气加温调节系统</w:t>
      </w:r>
      <w:r>
        <w:rPr>
          <w:rFonts w:hint="eastAsia" w:ascii="Times New Roman" w:hAnsi="Times New Roman" w:eastAsia="仿宋" w:cs="Times New Roman"/>
        </w:rPr>
        <w:t>-高压配气供应系统</w:t>
      </w:r>
      <w:bookmarkEnd w:id="0"/>
      <w:r>
        <w:rPr>
          <w:rFonts w:ascii="Times New Roman" w:hAnsi="Times New Roman" w:eastAsia="仿宋" w:cs="Times New Roman"/>
        </w:rPr>
        <w:t>采购</w:t>
      </w:r>
    </w:p>
    <w:p w14:paraId="218F1E9F">
      <w:pPr>
        <w:pStyle w:val="2"/>
        <w:rPr>
          <w:rFonts w:ascii="Times New Roman" w:hAnsi="Times New Roman" w:eastAsia="仿宋" w:cs="Times New Roman"/>
        </w:rPr>
      </w:pPr>
      <w:r>
        <w:rPr>
          <w:rFonts w:ascii="Times New Roman" w:hAnsi="Times New Roman" w:eastAsia="仿宋" w:cs="Times New Roman"/>
          <w:color w:val="auto"/>
        </w:rPr>
        <w:t>2.设备信息</w:t>
      </w:r>
    </w:p>
    <w:p w14:paraId="0A967974">
      <w:pPr>
        <w:ind w:firstLine="440"/>
        <w:rPr>
          <w:rFonts w:ascii="Times New Roman" w:hAnsi="Times New Roman" w:eastAsia="仿宋" w:cs="Times New Roman"/>
        </w:rPr>
      </w:pPr>
      <w:r>
        <w:rPr>
          <w:rFonts w:hint="eastAsia" w:ascii="Times New Roman" w:hAnsi="Times New Roman" w:eastAsia="仿宋" w:cs="Times New Roman"/>
        </w:rPr>
        <w:t>1）</w:t>
      </w:r>
      <w:r>
        <w:rPr>
          <w:rFonts w:ascii="Times New Roman" w:hAnsi="Times New Roman" w:eastAsia="仿宋" w:cs="Times New Roman"/>
        </w:rPr>
        <w:t>设备名称：进气加温调节系统</w:t>
      </w:r>
      <w:r>
        <w:rPr>
          <w:rFonts w:hint="eastAsia" w:ascii="Times New Roman" w:hAnsi="Times New Roman" w:eastAsia="仿宋" w:cs="Times New Roman"/>
        </w:rPr>
        <w:t>-高压配气供应系统</w:t>
      </w:r>
      <w:r>
        <w:rPr>
          <w:rFonts w:ascii="Times New Roman" w:hAnsi="Times New Roman" w:eastAsia="仿宋" w:cs="Times New Roman"/>
        </w:rPr>
        <w:t>采购</w:t>
      </w:r>
    </w:p>
    <w:p w14:paraId="49BE19C0">
      <w:pPr>
        <w:ind w:firstLine="440"/>
        <w:rPr>
          <w:rFonts w:ascii="Times New Roman" w:hAnsi="Times New Roman" w:eastAsia="仿宋" w:cs="Times New Roman"/>
        </w:rPr>
      </w:pPr>
      <w:r>
        <w:rPr>
          <w:rFonts w:hint="eastAsia" w:ascii="Times New Roman" w:hAnsi="Times New Roman" w:eastAsia="仿宋" w:cs="Times New Roman"/>
        </w:rPr>
        <w:t>2）</w:t>
      </w:r>
      <w:r>
        <w:rPr>
          <w:rFonts w:ascii="Times New Roman" w:hAnsi="Times New Roman" w:eastAsia="仿宋" w:cs="Times New Roman"/>
        </w:rPr>
        <w:t>数量：1</w:t>
      </w:r>
      <w:r>
        <w:rPr>
          <w:rFonts w:hint="eastAsia" w:ascii="Times New Roman" w:hAnsi="Times New Roman" w:eastAsia="仿宋" w:cs="Times New Roman"/>
        </w:rPr>
        <w:t>套</w:t>
      </w:r>
    </w:p>
    <w:p w14:paraId="41BD3708">
      <w:pPr>
        <w:ind w:firstLine="0" w:firstLineChars="0"/>
        <w:jc w:val="center"/>
        <w:rPr>
          <w:rFonts w:ascii="Times New Roman" w:hAnsi="Times New Roman" w:eastAsia="仿宋" w:cs="Times New Roman"/>
          <w:b/>
          <w:bCs/>
        </w:rPr>
      </w:pPr>
      <w:r>
        <w:rPr>
          <w:rFonts w:hint="eastAsia" w:ascii="Times New Roman" w:hAnsi="Times New Roman" w:eastAsia="仿宋" w:cs="Times New Roman"/>
          <w:b/>
          <w:bCs/>
        </w:rPr>
        <w:t>设备</w:t>
      </w:r>
      <w:r>
        <w:rPr>
          <w:rFonts w:ascii="Times New Roman" w:hAnsi="Times New Roman" w:eastAsia="仿宋" w:cs="Times New Roman"/>
          <w:b/>
          <w:bCs/>
        </w:rPr>
        <w:t>型号清单</w:t>
      </w:r>
    </w:p>
    <w:tbl>
      <w:tblPr>
        <w:tblStyle w:val="21"/>
        <w:tblW w:w="51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905"/>
        <w:gridCol w:w="3058"/>
        <w:gridCol w:w="1019"/>
        <w:gridCol w:w="1018"/>
        <w:gridCol w:w="962"/>
      </w:tblGrid>
      <w:tr w14:paraId="67FCD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486" w:type="pct"/>
            <w:noWrap/>
            <w:vAlign w:val="center"/>
          </w:tcPr>
          <w:p w14:paraId="03FE7F4A">
            <w:pPr>
              <w:widowControl/>
              <w:adjustRightInd w:val="0"/>
              <w:snapToGrid w:val="0"/>
              <w:spacing w:before="0" w:after="0" w:line="276" w:lineRule="auto"/>
              <w:ind w:firstLine="0" w:firstLineChars="0"/>
              <w:jc w:val="center"/>
              <w:textAlignment w:val="center"/>
              <w:rPr>
                <w:rFonts w:hint="eastAsia" w:ascii="仿宋_GB2312" w:hAnsi="仿宋" w:eastAsia="仿宋_GB2312" w:cs="宋体"/>
                <w:b/>
                <w:bCs/>
                <w:sz w:val="24"/>
                <w14:ligatures w14:val="none"/>
              </w:rPr>
            </w:pPr>
            <w:r>
              <w:rPr>
                <w:rFonts w:hint="eastAsia" w:ascii="仿宋_GB2312" w:eastAsia="仿宋_GB2312"/>
                <w:b/>
                <w:bCs/>
              </w:rPr>
              <w:t>序号</w:t>
            </w:r>
          </w:p>
        </w:tc>
        <w:tc>
          <w:tcPr>
            <w:tcW w:w="1080" w:type="pct"/>
            <w:noWrap/>
            <w:vAlign w:val="center"/>
          </w:tcPr>
          <w:p w14:paraId="5565E93D">
            <w:pPr>
              <w:widowControl/>
              <w:adjustRightInd w:val="0"/>
              <w:snapToGrid w:val="0"/>
              <w:spacing w:before="0" w:after="0" w:line="276" w:lineRule="auto"/>
              <w:ind w:firstLine="0" w:firstLineChars="0"/>
              <w:jc w:val="center"/>
              <w:textAlignment w:val="center"/>
              <w:rPr>
                <w:rFonts w:hint="eastAsia" w:ascii="仿宋_GB2312" w:hAnsi="仿宋" w:eastAsia="仿宋_GB2312" w:cs="宋体"/>
                <w:b/>
                <w:bCs/>
                <w:sz w:val="24"/>
                <w14:ligatures w14:val="none"/>
              </w:rPr>
            </w:pPr>
            <w:r>
              <w:rPr>
                <w:rFonts w:hint="eastAsia" w:ascii="仿宋_GB2312" w:eastAsia="仿宋_GB2312"/>
                <w:b/>
                <w:bCs/>
              </w:rPr>
              <w:t>货物名称</w:t>
            </w:r>
          </w:p>
        </w:tc>
        <w:tc>
          <w:tcPr>
            <w:tcW w:w="1734" w:type="pct"/>
            <w:noWrap/>
            <w:vAlign w:val="center"/>
          </w:tcPr>
          <w:p w14:paraId="41B19B35">
            <w:pPr>
              <w:widowControl/>
              <w:adjustRightInd w:val="0"/>
              <w:snapToGrid w:val="0"/>
              <w:spacing w:before="0" w:after="0" w:line="276" w:lineRule="auto"/>
              <w:ind w:firstLine="0" w:firstLineChars="0"/>
              <w:jc w:val="center"/>
              <w:textAlignment w:val="center"/>
              <w:rPr>
                <w:rFonts w:hint="eastAsia" w:ascii="仿宋_GB2312" w:hAnsi="仿宋" w:eastAsia="仿宋_GB2312" w:cs="宋体"/>
                <w:b/>
                <w:bCs/>
                <w:sz w:val="24"/>
                <w14:ligatures w14:val="none"/>
              </w:rPr>
            </w:pPr>
            <w:r>
              <w:rPr>
                <w:rFonts w:hint="eastAsia" w:ascii="仿宋_GB2312" w:eastAsia="仿宋_GB2312"/>
                <w:b/>
                <w:bCs/>
              </w:rPr>
              <w:t>规格型号</w:t>
            </w:r>
          </w:p>
        </w:tc>
        <w:tc>
          <w:tcPr>
            <w:tcW w:w="578" w:type="pct"/>
            <w:vAlign w:val="center"/>
          </w:tcPr>
          <w:p w14:paraId="559C161F">
            <w:pPr>
              <w:widowControl/>
              <w:spacing w:before="0" w:after="0" w:line="276" w:lineRule="auto"/>
              <w:ind w:firstLine="0" w:firstLineChars="0"/>
              <w:jc w:val="center"/>
              <w:textAlignment w:val="center"/>
              <w:rPr>
                <w:rFonts w:hint="eastAsia" w:ascii="仿宋_GB2312" w:hAnsi="仿宋" w:eastAsia="仿宋_GB2312" w:cs="宋体"/>
                <w:b/>
                <w:bCs/>
                <w:kern w:val="0"/>
                <w:sz w:val="24"/>
                <w14:ligatures w14:val="none"/>
              </w:rPr>
            </w:pPr>
            <w:r>
              <w:rPr>
                <w:rFonts w:hint="eastAsia" w:ascii="仿宋_GB2312" w:eastAsia="仿宋_GB2312"/>
                <w:b/>
                <w:bCs/>
              </w:rPr>
              <w:t>数量</w:t>
            </w:r>
          </w:p>
        </w:tc>
        <w:tc>
          <w:tcPr>
            <w:tcW w:w="577" w:type="pct"/>
            <w:vAlign w:val="center"/>
          </w:tcPr>
          <w:p w14:paraId="4B40FF37">
            <w:pPr>
              <w:widowControl/>
              <w:spacing w:before="0" w:after="0" w:line="276" w:lineRule="auto"/>
              <w:ind w:firstLine="0" w:firstLineChars="0"/>
              <w:jc w:val="center"/>
              <w:textAlignment w:val="center"/>
              <w:rPr>
                <w:rFonts w:hint="eastAsia" w:ascii="仿宋_GB2312" w:hAnsi="仿宋" w:eastAsia="仿宋_GB2312" w:cs="宋体"/>
                <w:b/>
                <w:bCs/>
                <w:kern w:val="0"/>
                <w:sz w:val="24"/>
                <w14:ligatures w14:val="none"/>
              </w:rPr>
            </w:pPr>
            <w:r>
              <w:rPr>
                <w:rFonts w:hint="eastAsia" w:ascii="仿宋_GB2312" w:hAnsi="仿宋" w:eastAsia="仿宋_GB2312" w:cs="宋体"/>
                <w:b/>
                <w:bCs/>
                <w:kern w:val="0"/>
                <w:sz w:val="24"/>
                <w14:ligatures w14:val="none"/>
              </w:rPr>
              <w:t>单位</w:t>
            </w:r>
          </w:p>
        </w:tc>
        <w:tc>
          <w:tcPr>
            <w:tcW w:w="545" w:type="pct"/>
            <w:vAlign w:val="center"/>
          </w:tcPr>
          <w:p w14:paraId="6009833E">
            <w:pPr>
              <w:widowControl/>
              <w:spacing w:before="0" w:after="0" w:line="276" w:lineRule="auto"/>
              <w:ind w:firstLine="0" w:firstLineChars="0"/>
              <w:jc w:val="center"/>
              <w:textAlignment w:val="center"/>
              <w:rPr>
                <w:rFonts w:hint="eastAsia" w:ascii="仿宋_GB2312" w:hAnsi="仿宋" w:eastAsia="仿宋_GB2312" w:cs="宋体"/>
                <w:b/>
                <w:bCs/>
                <w:kern w:val="0"/>
                <w:sz w:val="24"/>
                <w14:ligatures w14:val="none"/>
              </w:rPr>
            </w:pPr>
            <w:r>
              <w:rPr>
                <w:rFonts w:hint="eastAsia" w:ascii="仿宋_GB2312" w:hAnsi="仿宋" w:eastAsia="仿宋_GB2312" w:cs="宋体"/>
                <w:b/>
                <w:bCs/>
                <w:kern w:val="0"/>
                <w:sz w:val="24"/>
                <w14:ligatures w14:val="none"/>
              </w:rPr>
              <w:t>备注</w:t>
            </w:r>
          </w:p>
        </w:tc>
      </w:tr>
      <w:tr w14:paraId="6DCA5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6" w:type="pct"/>
            <w:noWrap/>
            <w:vAlign w:val="center"/>
          </w:tcPr>
          <w:p w14:paraId="6997E352">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1</w:t>
            </w:r>
          </w:p>
        </w:tc>
        <w:tc>
          <w:tcPr>
            <w:tcW w:w="1080" w:type="pct"/>
            <w:noWrap/>
            <w:vAlign w:val="center"/>
          </w:tcPr>
          <w:p w14:paraId="02F8ADBD">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手动调压阀</w:t>
            </w:r>
          </w:p>
        </w:tc>
        <w:tc>
          <w:tcPr>
            <w:tcW w:w="1734" w:type="pct"/>
            <w:noWrap/>
            <w:vAlign w:val="center"/>
          </w:tcPr>
          <w:p w14:paraId="192DE32F">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工作压力32MPa/23MPa</w:t>
            </w:r>
          </w:p>
        </w:tc>
        <w:tc>
          <w:tcPr>
            <w:tcW w:w="578" w:type="pct"/>
            <w:vAlign w:val="center"/>
          </w:tcPr>
          <w:p w14:paraId="10714C69">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1</w:t>
            </w:r>
          </w:p>
        </w:tc>
        <w:tc>
          <w:tcPr>
            <w:tcW w:w="577" w:type="pct"/>
            <w:vAlign w:val="center"/>
          </w:tcPr>
          <w:p w14:paraId="662C003A">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批</w:t>
            </w:r>
          </w:p>
        </w:tc>
        <w:tc>
          <w:tcPr>
            <w:tcW w:w="545" w:type="pct"/>
            <w:vAlign w:val="center"/>
          </w:tcPr>
          <w:p w14:paraId="658D0373">
            <w:pPr>
              <w:widowControl/>
              <w:spacing w:before="0" w:after="0" w:line="276" w:lineRule="auto"/>
              <w:ind w:firstLine="0" w:firstLineChars="0"/>
              <w:textAlignment w:val="center"/>
              <w:rPr>
                <w:rFonts w:hint="eastAsia" w:ascii="仿宋_GB2312" w:hAnsi="仿宋" w:eastAsia="仿宋_GB2312" w:cs="宋体"/>
                <w:kern w:val="0"/>
                <w:sz w:val="24"/>
                <w14:ligatures w14:val="none"/>
              </w:rPr>
            </w:pPr>
          </w:p>
        </w:tc>
      </w:tr>
      <w:tr w14:paraId="05EB9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6" w:type="pct"/>
            <w:noWrap/>
            <w:vAlign w:val="center"/>
          </w:tcPr>
          <w:p w14:paraId="05CCF9A3">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2</w:t>
            </w:r>
          </w:p>
        </w:tc>
        <w:tc>
          <w:tcPr>
            <w:tcW w:w="1080" w:type="pct"/>
            <w:noWrap/>
            <w:vAlign w:val="center"/>
          </w:tcPr>
          <w:p w14:paraId="2391879B">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手动截止阀</w:t>
            </w:r>
          </w:p>
        </w:tc>
        <w:tc>
          <w:tcPr>
            <w:tcW w:w="1734" w:type="pct"/>
            <w:noWrap/>
            <w:vAlign w:val="center"/>
          </w:tcPr>
          <w:p w14:paraId="210C114A">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工作压力32MPa/23MPa</w:t>
            </w:r>
          </w:p>
        </w:tc>
        <w:tc>
          <w:tcPr>
            <w:tcW w:w="578" w:type="pct"/>
            <w:vAlign w:val="center"/>
          </w:tcPr>
          <w:p w14:paraId="66FFFE66">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1</w:t>
            </w:r>
          </w:p>
        </w:tc>
        <w:tc>
          <w:tcPr>
            <w:tcW w:w="577" w:type="pct"/>
            <w:vAlign w:val="center"/>
          </w:tcPr>
          <w:p w14:paraId="5C1B9B02">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批</w:t>
            </w:r>
          </w:p>
        </w:tc>
        <w:tc>
          <w:tcPr>
            <w:tcW w:w="545" w:type="pct"/>
            <w:vAlign w:val="center"/>
          </w:tcPr>
          <w:p w14:paraId="05CF89F1">
            <w:pPr>
              <w:widowControl/>
              <w:spacing w:before="0" w:after="0" w:line="276" w:lineRule="auto"/>
              <w:ind w:firstLine="0" w:firstLineChars="0"/>
              <w:textAlignment w:val="center"/>
              <w:rPr>
                <w:rFonts w:hint="eastAsia" w:ascii="仿宋_GB2312" w:hAnsi="仿宋" w:eastAsia="仿宋_GB2312" w:cs="宋体"/>
                <w:kern w:val="0"/>
                <w:sz w:val="24"/>
                <w14:ligatures w14:val="none"/>
              </w:rPr>
            </w:pPr>
          </w:p>
        </w:tc>
      </w:tr>
      <w:tr w14:paraId="42D35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6" w:type="pct"/>
            <w:noWrap/>
            <w:vAlign w:val="center"/>
          </w:tcPr>
          <w:p w14:paraId="39466375">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3</w:t>
            </w:r>
          </w:p>
        </w:tc>
        <w:tc>
          <w:tcPr>
            <w:tcW w:w="1080" w:type="pct"/>
            <w:noWrap/>
            <w:vAlign w:val="center"/>
          </w:tcPr>
          <w:p w14:paraId="5C62597E">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指针式压力表</w:t>
            </w:r>
          </w:p>
        </w:tc>
        <w:tc>
          <w:tcPr>
            <w:tcW w:w="1734" w:type="pct"/>
            <w:noWrap/>
            <w:vAlign w:val="center"/>
          </w:tcPr>
          <w:p w14:paraId="44101662">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最大有效量程32MPa/23MPa</w:t>
            </w:r>
          </w:p>
        </w:tc>
        <w:tc>
          <w:tcPr>
            <w:tcW w:w="578" w:type="pct"/>
            <w:vAlign w:val="center"/>
          </w:tcPr>
          <w:p w14:paraId="38377EC0">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1</w:t>
            </w:r>
          </w:p>
        </w:tc>
        <w:tc>
          <w:tcPr>
            <w:tcW w:w="577" w:type="pct"/>
            <w:vAlign w:val="center"/>
          </w:tcPr>
          <w:p w14:paraId="3E778182">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批</w:t>
            </w:r>
          </w:p>
        </w:tc>
        <w:tc>
          <w:tcPr>
            <w:tcW w:w="545" w:type="pct"/>
            <w:vAlign w:val="center"/>
          </w:tcPr>
          <w:p w14:paraId="44065AB9">
            <w:pPr>
              <w:widowControl/>
              <w:spacing w:before="0" w:after="0" w:line="276" w:lineRule="auto"/>
              <w:ind w:firstLine="0" w:firstLineChars="0"/>
              <w:textAlignment w:val="center"/>
              <w:rPr>
                <w:rFonts w:hint="eastAsia" w:ascii="仿宋_GB2312" w:hAnsi="仿宋" w:eastAsia="仿宋_GB2312" w:cs="宋体"/>
                <w:kern w:val="0"/>
                <w:sz w:val="24"/>
                <w14:ligatures w14:val="none"/>
              </w:rPr>
            </w:pPr>
          </w:p>
        </w:tc>
      </w:tr>
      <w:tr w14:paraId="5E6F2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6" w:type="pct"/>
            <w:noWrap/>
            <w:vAlign w:val="center"/>
          </w:tcPr>
          <w:p w14:paraId="40A1D149">
            <w:pPr>
              <w:widowControl/>
              <w:adjustRightInd w:val="0"/>
              <w:snapToGrid w:val="0"/>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eastAsia="仿宋_GB2312"/>
              </w:rPr>
              <w:t>4</w:t>
            </w:r>
          </w:p>
        </w:tc>
        <w:tc>
          <w:tcPr>
            <w:tcW w:w="1080" w:type="pct"/>
            <w:noWrap/>
            <w:vAlign w:val="center"/>
          </w:tcPr>
          <w:p w14:paraId="1AE6C227">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过滤器</w:t>
            </w:r>
          </w:p>
        </w:tc>
        <w:tc>
          <w:tcPr>
            <w:tcW w:w="1734" w:type="pct"/>
            <w:noWrap/>
            <w:vAlign w:val="center"/>
          </w:tcPr>
          <w:p w14:paraId="21B30379">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过滤精度不大于10μm</w:t>
            </w:r>
          </w:p>
        </w:tc>
        <w:tc>
          <w:tcPr>
            <w:tcW w:w="578" w:type="pct"/>
            <w:vAlign w:val="center"/>
          </w:tcPr>
          <w:p w14:paraId="6B99005D">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1</w:t>
            </w:r>
          </w:p>
        </w:tc>
        <w:tc>
          <w:tcPr>
            <w:tcW w:w="577" w:type="pct"/>
            <w:vAlign w:val="center"/>
          </w:tcPr>
          <w:p w14:paraId="4508042C">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批</w:t>
            </w:r>
          </w:p>
        </w:tc>
        <w:tc>
          <w:tcPr>
            <w:tcW w:w="545" w:type="pct"/>
            <w:vAlign w:val="center"/>
          </w:tcPr>
          <w:p w14:paraId="67AFCD98">
            <w:pPr>
              <w:widowControl/>
              <w:spacing w:before="0" w:after="0" w:line="276" w:lineRule="auto"/>
              <w:ind w:firstLine="0" w:firstLineChars="0"/>
              <w:textAlignment w:val="center"/>
              <w:rPr>
                <w:rFonts w:hint="eastAsia" w:ascii="仿宋_GB2312" w:hAnsi="仿宋" w:eastAsia="仿宋_GB2312" w:cs="宋体"/>
                <w:kern w:val="0"/>
                <w:sz w:val="24"/>
                <w14:ligatures w14:val="none"/>
              </w:rPr>
            </w:pPr>
          </w:p>
        </w:tc>
      </w:tr>
      <w:tr w14:paraId="14D2E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6" w:type="pct"/>
            <w:noWrap/>
            <w:vAlign w:val="center"/>
          </w:tcPr>
          <w:p w14:paraId="69A8E7B4">
            <w:pPr>
              <w:widowControl/>
              <w:adjustRightInd w:val="0"/>
              <w:snapToGrid w:val="0"/>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eastAsia="仿宋_GB2312"/>
              </w:rPr>
              <w:t>5</w:t>
            </w:r>
          </w:p>
        </w:tc>
        <w:tc>
          <w:tcPr>
            <w:tcW w:w="1080" w:type="pct"/>
            <w:noWrap/>
            <w:vAlign w:val="center"/>
          </w:tcPr>
          <w:p w14:paraId="0FCDC67A">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安全阀</w:t>
            </w:r>
          </w:p>
        </w:tc>
        <w:tc>
          <w:tcPr>
            <w:tcW w:w="1734" w:type="pct"/>
            <w:noWrap/>
            <w:vAlign w:val="center"/>
          </w:tcPr>
          <w:p w14:paraId="6443E0E1">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最高工作压力20MPa/10MPa</w:t>
            </w:r>
          </w:p>
        </w:tc>
        <w:tc>
          <w:tcPr>
            <w:tcW w:w="578" w:type="pct"/>
            <w:vAlign w:val="center"/>
          </w:tcPr>
          <w:p w14:paraId="1B16F82C">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1</w:t>
            </w:r>
          </w:p>
        </w:tc>
        <w:tc>
          <w:tcPr>
            <w:tcW w:w="577" w:type="pct"/>
            <w:vAlign w:val="center"/>
          </w:tcPr>
          <w:p w14:paraId="6B75E186">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批</w:t>
            </w:r>
          </w:p>
        </w:tc>
        <w:tc>
          <w:tcPr>
            <w:tcW w:w="545" w:type="pct"/>
            <w:vAlign w:val="center"/>
          </w:tcPr>
          <w:p w14:paraId="5B3B810E">
            <w:pPr>
              <w:widowControl/>
              <w:spacing w:before="0" w:after="0" w:line="276" w:lineRule="auto"/>
              <w:ind w:firstLine="0" w:firstLineChars="0"/>
              <w:textAlignment w:val="center"/>
              <w:rPr>
                <w:rFonts w:hint="eastAsia" w:ascii="仿宋_GB2312" w:hAnsi="仿宋" w:eastAsia="仿宋_GB2312" w:cs="宋体"/>
                <w:kern w:val="0"/>
                <w:sz w:val="24"/>
                <w14:ligatures w14:val="none"/>
              </w:rPr>
            </w:pPr>
          </w:p>
        </w:tc>
      </w:tr>
      <w:tr w14:paraId="1F02A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86" w:type="pct"/>
            <w:noWrap/>
            <w:vAlign w:val="center"/>
          </w:tcPr>
          <w:p w14:paraId="79932555">
            <w:pPr>
              <w:widowControl/>
              <w:adjustRightInd w:val="0"/>
              <w:snapToGrid w:val="0"/>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eastAsia="仿宋_GB2312"/>
              </w:rPr>
              <w:t>6</w:t>
            </w:r>
          </w:p>
        </w:tc>
        <w:tc>
          <w:tcPr>
            <w:tcW w:w="1080" w:type="pct"/>
            <w:noWrap/>
            <w:vAlign w:val="center"/>
          </w:tcPr>
          <w:p w14:paraId="1D0C1D00">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导管连接件</w:t>
            </w:r>
          </w:p>
        </w:tc>
        <w:tc>
          <w:tcPr>
            <w:tcW w:w="1734" w:type="pct"/>
            <w:noWrap/>
            <w:vAlign w:val="center"/>
          </w:tcPr>
          <w:p w14:paraId="74C14ADC">
            <w:pPr>
              <w:widowControl/>
              <w:adjustRightInd w:val="0"/>
              <w:snapToGrid w:val="0"/>
              <w:spacing w:before="0" w:after="0" w:line="276" w:lineRule="auto"/>
              <w:ind w:firstLine="0" w:firstLineChars="0"/>
              <w:jc w:val="center"/>
              <w:textAlignment w:val="center"/>
              <w:rPr>
                <w:rFonts w:hint="eastAsia" w:ascii="仿宋_GB2312" w:hAnsi="仿宋" w:eastAsia="仿宋_GB2312" w:cs="宋体"/>
                <w:sz w:val="24"/>
                <w14:ligatures w14:val="none"/>
              </w:rPr>
            </w:pPr>
            <w:r>
              <w:rPr>
                <w:rFonts w:hint="eastAsia" w:ascii="仿宋_GB2312" w:eastAsia="仿宋_GB2312"/>
              </w:rPr>
              <w:t>DN6/DN10/DN20</w:t>
            </w:r>
          </w:p>
        </w:tc>
        <w:tc>
          <w:tcPr>
            <w:tcW w:w="578" w:type="pct"/>
            <w:vAlign w:val="center"/>
          </w:tcPr>
          <w:p w14:paraId="3661CD2A">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1</w:t>
            </w:r>
          </w:p>
        </w:tc>
        <w:tc>
          <w:tcPr>
            <w:tcW w:w="577" w:type="pct"/>
            <w:vAlign w:val="center"/>
          </w:tcPr>
          <w:p w14:paraId="23518E3C">
            <w:pPr>
              <w:widowControl/>
              <w:spacing w:before="0" w:after="0" w:line="276" w:lineRule="auto"/>
              <w:ind w:firstLine="0" w:firstLineChars="0"/>
              <w:jc w:val="center"/>
              <w:textAlignment w:val="center"/>
              <w:rPr>
                <w:rFonts w:hint="eastAsia" w:ascii="仿宋_GB2312" w:hAnsi="仿宋" w:eastAsia="仿宋_GB2312" w:cs="宋体"/>
                <w:kern w:val="0"/>
                <w:sz w:val="24"/>
                <w14:ligatures w14:val="none"/>
              </w:rPr>
            </w:pPr>
            <w:r>
              <w:rPr>
                <w:rFonts w:hint="eastAsia" w:ascii="仿宋_GB2312" w:hAnsi="仿宋" w:eastAsia="仿宋_GB2312" w:cs="宋体"/>
                <w:kern w:val="0"/>
                <w:sz w:val="24"/>
                <w14:ligatures w14:val="none"/>
              </w:rPr>
              <w:t>批</w:t>
            </w:r>
          </w:p>
        </w:tc>
        <w:tc>
          <w:tcPr>
            <w:tcW w:w="545" w:type="pct"/>
            <w:vAlign w:val="center"/>
          </w:tcPr>
          <w:p w14:paraId="610885D2">
            <w:pPr>
              <w:widowControl/>
              <w:spacing w:before="0" w:after="0" w:line="276" w:lineRule="auto"/>
              <w:ind w:firstLine="0" w:firstLineChars="0"/>
              <w:textAlignment w:val="center"/>
              <w:rPr>
                <w:rFonts w:hint="eastAsia" w:ascii="仿宋_GB2312" w:hAnsi="仿宋" w:eastAsia="仿宋_GB2312" w:cs="宋体"/>
                <w:kern w:val="0"/>
                <w:sz w:val="24"/>
                <w14:ligatures w14:val="none"/>
              </w:rPr>
            </w:pPr>
          </w:p>
        </w:tc>
      </w:tr>
    </w:tbl>
    <w:p w14:paraId="581B0657">
      <w:pPr>
        <w:spacing w:before="156" w:beforeLines="5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3.用途、功能和参数要求</w:t>
      </w:r>
    </w:p>
    <w:p w14:paraId="1FCF20BB">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3.1用途要求</w:t>
      </w:r>
    </w:p>
    <w:p w14:paraId="682779B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高压配气供应系统集成为一体式配气台，用途是将最高工作压力为</w:t>
      </w:r>
      <w:r>
        <w:rPr>
          <w:rFonts w:ascii="Times New Roman" w:hAnsi="Times New Roman" w:eastAsia="仿宋" w:cs="仿宋"/>
          <w:sz w:val="24"/>
          <w14:ligatures w14:val="none"/>
        </w:rPr>
        <w:t>32MPa</w:t>
      </w:r>
      <w:r>
        <w:rPr>
          <w:rFonts w:hint="eastAsia" w:ascii="Times New Roman" w:hAnsi="Times New Roman" w:eastAsia="仿宋" w:cs="仿宋"/>
          <w:sz w:val="24"/>
          <w14:ligatures w14:val="none"/>
        </w:rPr>
        <w:t>的氮气减压至</w:t>
      </w:r>
      <w:r>
        <w:rPr>
          <w:rFonts w:ascii="Times New Roman" w:hAnsi="Times New Roman" w:eastAsia="仿宋" w:cs="仿宋"/>
          <w:sz w:val="24"/>
          <w14:ligatures w14:val="none"/>
        </w:rPr>
        <w:t>10MPa</w:t>
      </w:r>
      <w:r>
        <w:rPr>
          <w:rFonts w:hint="eastAsia" w:ascii="Times New Roman" w:hAnsi="Times New Roman" w:eastAsia="仿宋" w:cs="仿宋"/>
          <w:sz w:val="24"/>
          <w14:ligatures w14:val="none"/>
        </w:rPr>
        <w:t>以内，并分配到进气加温调节系统各个氮气用气点，最大供气流量不低于1kg/s，包含不少于16路氮气输出；除整体配气台外，还包含配套手阀、导管连接件等用于下游供应管路。</w:t>
      </w:r>
    </w:p>
    <w:p w14:paraId="4D74CB14">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3.2功能要求</w:t>
      </w:r>
    </w:p>
    <w:p w14:paraId="149F8C32">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高压配气供应系统的一体化配气台内部所有管道均为不锈钢无缝管道，配套管件材质和所有阀门主体部件均为不锈钢，须充分考虑各种阀门和仪表的安装位置，便于操作和观察，同时具有规范、整洁、操控性好的特点。</w:t>
      </w:r>
    </w:p>
    <w:p w14:paraId="47D20A0B">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3.3标准要求</w:t>
      </w:r>
    </w:p>
    <w:p w14:paraId="5FD82475">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根据产品质量控制需要，设备设计、加工以及安装调试过程中执行如下标准（任何不满足标准要求，均须书面取得采购人同意）：</w:t>
      </w:r>
    </w:p>
    <w:p w14:paraId="01FB7BE4">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（1）《承压设备用不锈钢和耐热钢锻件》</w:t>
      </w:r>
      <w:r>
        <w:rPr>
          <w:rFonts w:ascii="Times New Roman" w:hAnsi="Times New Roman" w:eastAsia="仿宋" w:cs="仿宋"/>
          <w:sz w:val="24"/>
          <w14:ligatures w14:val="none"/>
        </w:rPr>
        <w:t>NB/T47010-2017</w:t>
      </w:r>
    </w:p>
    <w:p w14:paraId="27CC9613">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（2）《工业阀门的逸散性试验》</w:t>
      </w:r>
      <w:r>
        <w:rPr>
          <w:rFonts w:hint="eastAsia" w:ascii="Times New Roman" w:hAnsi="Times New Roman" w:cs="宋体"/>
          <w:sz w:val="24"/>
          <w14:ligatures w14:val="none"/>
        </w:rPr>
        <w:t>GB/T26481-2022</w:t>
      </w:r>
      <w:r>
        <w:rPr>
          <w:rFonts w:hint="eastAsia" w:ascii="Times New Roman" w:hAnsi="Times New Roman" w:eastAsia="仿宋" w:cs="仿宋"/>
          <w:sz w:val="24"/>
          <w14:ligatures w14:val="none"/>
        </w:rPr>
        <w:t>；</w:t>
      </w:r>
    </w:p>
    <w:p w14:paraId="6EA60BE0">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（3）《阀门的检验和试验》</w:t>
      </w:r>
      <w:r>
        <w:rPr>
          <w:rFonts w:ascii="Times New Roman" w:hAnsi="Times New Roman" w:eastAsia="仿宋" w:cs="仿宋"/>
          <w:sz w:val="24"/>
          <w14:ligatures w14:val="none"/>
        </w:rPr>
        <w:t>GB/T26480-2011</w:t>
      </w:r>
      <w:r>
        <w:rPr>
          <w:rFonts w:hint="eastAsia" w:ascii="Times New Roman" w:hAnsi="Times New Roman" w:eastAsia="仿宋" w:cs="仿宋"/>
          <w:sz w:val="24"/>
          <w14:ligatures w14:val="none"/>
        </w:rPr>
        <w:t>；</w:t>
      </w:r>
    </w:p>
    <w:p w14:paraId="73229153">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（4）《37°导管连接件》</w:t>
      </w:r>
      <w:r>
        <w:rPr>
          <w:rFonts w:ascii="Times New Roman" w:hAnsi="Times New Roman" w:eastAsia="仿宋" w:cs="仿宋"/>
          <w:sz w:val="24"/>
          <w14:ligatures w14:val="none"/>
        </w:rPr>
        <w:t>QJ2889-1997</w:t>
      </w:r>
      <w:r>
        <w:rPr>
          <w:rFonts w:hint="eastAsia" w:ascii="Times New Roman" w:hAnsi="Times New Roman" w:eastAsia="仿宋" w:cs="仿宋"/>
          <w:sz w:val="24"/>
          <w14:ligatures w14:val="none"/>
        </w:rPr>
        <w:t>；</w:t>
      </w:r>
    </w:p>
    <w:p w14:paraId="102E0E39">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（5）《不锈钢棒》</w:t>
      </w:r>
      <w:r>
        <w:rPr>
          <w:rFonts w:ascii="Times New Roman" w:hAnsi="Times New Roman" w:eastAsia="仿宋" w:cs="仿宋"/>
          <w:sz w:val="24"/>
          <w14:ligatures w14:val="none"/>
        </w:rPr>
        <w:t>GB/T1220-2007</w:t>
      </w:r>
      <w:r>
        <w:rPr>
          <w:rFonts w:hint="eastAsia" w:ascii="Times New Roman" w:hAnsi="Times New Roman" w:eastAsia="仿宋" w:cs="仿宋"/>
          <w:sz w:val="24"/>
          <w14:ligatures w14:val="none"/>
        </w:rPr>
        <w:t>；</w:t>
      </w:r>
    </w:p>
    <w:p w14:paraId="51E457EE">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（6）《流体输送用不锈钢管》</w:t>
      </w:r>
      <w:r>
        <w:rPr>
          <w:rFonts w:ascii="Times New Roman" w:hAnsi="Times New Roman" w:eastAsia="仿宋" w:cs="仿宋"/>
          <w:sz w:val="24"/>
          <w14:ligatures w14:val="none"/>
        </w:rPr>
        <w:t>GB/T14976-2012</w:t>
      </w:r>
      <w:r>
        <w:rPr>
          <w:rFonts w:hint="eastAsia" w:ascii="Times New Roman" w:hAnsi="Times New Roman" w:eastAsia="仿宋" w:cs="仿宋"/>
          <w:sz w:val="24"/>
          <w14:ligatures w14:val="none"/>
        </w:rPr>
        <w:t>；</w:t>
      </w:r>
    </w:p>
    <w:p w14:paraId="400E1A48">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（7）《承压设备无损检测 第2部分：射线检测》</w:t>
      </w:r>
      <w:r>
        <w:rPr>
          <w:rFonts w:ascii="Times New Roman" w:hAnsi="Times New Roman" w:eastAsia="仿宋" w:cs="仿宋"/>
          <w:sz w:val="24"/>
          <w14:ligatures w14:val="none"/>
        </w:rPr>
        <w:t>NB/T47013.2-2015</w:t>
      </w:r>
      <w:r>
        <w:rPr>
          <w:rFonts w:hint="eastAsia" w:ascii="Times New Roman" w:hAnsi="Times New Roman" w:eastAsia="仿宋" w:cs="仿宋"/>
          <w:sz w:val="24"/>
          <w14:ligatures w14:val="none"/>
        </w:rPr>
        <w:t>；</w:t>
      </w:r>
    </w:p>
    <w:p w14:paraId="7813074E">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（8）《承压设备无损检测 第5部分：渗透检测》</w:t>
      </w:r>
      <w:r>
        <w:rPr>
          <w:rFonts w:ascii="Times New Roman" w:hAnsi="Times New Roman" w:eastAsia="仿宋" w:cs="仿宋"/>
          <w:sz w:val="24"/>
          <w14:ligatures w14:val="none"/>
        </w:rPr>
        <w:t>NB/T47013.5-2015</w:t>
      </w:r>
      <w:r>
        <w:rPr>
          <w:rFonts w:hint="eastAsia" w:ascii="Times New Roman" w:hAnsi="Times New Roman" w:eastAsia="仿宋" w:cs="仿宋"/>
          <w:sz w:val="24"/>
          <w14:ligatures w14:val="none"/>
        </w:rPr>
        <w:t>；</w:t>
      </w:r>
    </w:p>
    <w:p w14:paraId="0D0C42A9">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（9）《工业安装工程质量检验评定统一标准》GB 50252-2010；</w:t>
      </w:r>
    </w:p>
    <w:p w14:paraId="2A6602AC">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（10）《机械设备安装工程施工及验收规范》GB50231-2009；</w:t>
      </w:r>
    </w:p>
    <w:p w14:paraId="26813995">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（11）《压力管道规范 工业管道 第二部分：材料》</w:t>
      </w:r>
      <w:r>
        <w:rPr>
          <w:rFonts w:ascii="Times New Roman" w:hAnsi="Times New Roman" w:eastAsia="仿宋" w:cs="仿宋"/>
          <w:sz w:val="24"/>
          <w14:ligatures w14:val="none"/>
        </w:rPr>
        <w:t>GB/T20801</w:t>
      </w:r>
      <w:r>
        <w:rPr>
          <w:rFonts w:hint="eastAsia" w:ascii="Times New Roman" w:hAnsi="Times New Roman" w:eastAsia="仿宋" w:cs="仿宋"/>
          <w:sz w:val="24"/>
          <w14:ligatures w14:val="none"/>
        </w:rPr>
        <w:t>.2</w:t>
      </w:r>
      <w:r>
        <w:rPr>
          <w:rFonts w:ascii="Times New Roman" w:hAnsi="Times New Roman" w:eastAsia="仿宋" w:cs="仿宋"/>
          <w:sz w:val="24"/>
          <w14:ligatures w14:val="none"/>
        </w:rPr>
        <w:t>-2020</w:t>
      </w:r>
      <w:r>
        <w:rPr>
          <w:rFonts w:hint="eastAsia" w:ascii="Times New Roman" w:hAnsi="Times New Roman" w:eastAsia="仿宋" w:cs="仿宋"/>
          <w:sz w:val="24"/>
          <w14:ligatures w14:val="none"/>
        </w:rPr>
        <w:t>；</w:t>
      </w:r>
    </w:p>
    <w:p w14:paraId="468ACC57">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（12）《压力管道规范工业管道第三部分：设计和计算》GB/T20801.3-2020；</w:t>
      </w:r>
    </w:p>
    <w:p w14:paraId="55CDFCD2">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（13）《压力管道规范工业管道第三部分：制作与安装》GB/T20801.4-2020；</w:t>
      </w:r>
    </w:p>
    <w:p w14:paraId="5A68EE9C">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（14）《压力管道规范工业管道第三部分：检验与试验》GB/T20801.5-2020；</w:t>
      </w:r>
    </w:p>
    <w:p w14:paraId="0696CD36">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（15）《承压设备无损检测.第2部分:射线检测》JB/T4730.2-2005；</w:t>
      </w:r>
    </w:p>
    <w:p w14:paraId="624B51BA">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（16）《工业金属管道设计规范》GB50316-2008；</w:t>
      </w:r>
    </w:p>
    <w:p w14:paraId="7E8B46DA">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（17）《工业金属管道工程施工及验收规范》GB50235-2010；</w:t>
      </w:r>
    </w:p>
    <w:p w14:paraId="402A03D2">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（18）《流体输送用不锈钢无缝钢管》GB/T14976-2012；</w:t>
      </w:r>
    </w:p>
    <w:p w14:paraId="26E1550D">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（19《钢制对焊管件类型与参数》GB12459-2017；</w:t>
      </w:r>
    </w:p>
    <w:p w14:paraId="2D888B52">
      <w:pPr>
        <w:spacing w:before="0" w:after="0"/>
        <w:ind w:firstLine="0"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（20）《钢板制对焊管件》GB 13401-2005。</w:t>
      </w:r>
    </w:p>
    <w:p w14:paraId="6A559A16">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注：以上标准按签订合同时的最新标准执行；未尽事宜按国内相关标准执行，且优先按高和严执行。采购人在本文件中提出了最低限度的技术要求，并未对一切技术要求做出详细规定，也未充分引述有关标准和规范的条文，投标人应提供满足本招标文件和相关的国际国内工业标准的优质产品及相应服务。</w:t>
      </w:r>
    </w:p>
    <w:p w14:paraId="71051AE7">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3.4技术要求</w:t>
      </w:r>
    </w:p>
    <w:p w14:paraId="6BE5F2BF">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3.4.1 总体技术要求</w:t>
      </w:r>
    </w:p>
    <w:p w14:paraId="6F9E79B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高压配气供应系统采用两级调压方案，且二级调压不少于9路；一级调压阀工作压力15~32MPa，输出压力范围为5~23MPa，一级调压阀入口和泄压管路上配手动截止阀，一级调压阀入口和输出管路上配指针式压力表；二级调压阀输出压力范围为0.2~10MPa，每路二级调压阀的上游管路、输出管路和泄压管路上配手动截止阀，每路二级调压阀的输出管路上配指针式压力表，每个二级调压路均配置单独指针式压力表，以反馈用气点压力。</w:t>
      </w:r>
    </w:p>
    <w:p w14:paraId="2DAFD305">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总体技术指标如下：</w:t>
      </w:r>
    </w:p>
    <w:p w14:paraId="4D3F3E8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1）工作介质：氮气；</w:t>
      </w:r>
    </w:p>
    <w:p w14:paraId="0E4FC25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2）工作环境温度：-20℃～+50℃；</w:t>
      </w:r>
    </w:p>
    <w:p w14:paraId="24DEC3D8">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3）配气系统入口最高工作压力：32MPa；</w:t>
      </w:r>
    </w:p>
    <w:p w14:paraId="110BF935">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4）输出压力范围为0.2~10MPa；</w:t>
      </w:r>
    </w:p>
    <w:p w14:paraId="13642186">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5）管道要求：无缝不锈钢管，材质为06Cr19Ni10，管道在装配前要进行酸洗处理、脱脂处理和清洗处理，确保无杂物及油脂；</w:t>
      </w:r>
    </w:p>
    <w:p w14:paraId="0366DF29">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6）面板材料：铝板阳极化；</w:t>
      </w:r>
    </w:p>
    <w:p w14:paraId="1C8BD454">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7）配气台前面板上每个阀门、压力表应有其对应的标签以及系统原理图；</w:t>
      </w:r>
    </w:p>
    <w:p w14:paraId="3B5D6957">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8）所有管道进出口均设在配气台背部下方面板，接管口水平方向向后，管口为37°锥面外螺纹形式，每个出口应有压力、名称标识，与面板上的标识名称相对应；</w:t>
      </w:r>
    </w:p>
    <w:p w14:paraId="099F0BBF">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9）配气台出厂前用堵头封堵所有进出口，防止多余物进入；</w:t>
      </w:r>
    </w:p>
    <w:p w14:paraId="35924966">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10）配气台设计时要设置安装时所需吊耳，设计完成后提供装置总质量；</w:t>
      </w:r>
    </w:p>
    <w:p w14:paraId="48168B92">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11）根据原理图开展工程方案设计，设计方案经甲方审核通过后方可组织生产；</w:t>
      </w:r>
    </w:p>
    <w:p w14:paraId="23F53EC0">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12）外形尺寸要求：配气台不大于： 3500mm（长）×900mm（宽）×1800mm（高）；</w:t>
      </w:r>
    </w:p>
    <w:p w14:paraId="12751602">
      <w:pPr>
        <w:spacing w:before="0" w:after="0"/>
        <w:ind w:firstLine="482" w:firstLineChars="0"/>
        <w:jc w:val="both"/>
        <w:rPr>
          <w:rFonts w:ascii="楷体" w:hAnsi="Calibri" w:eastAsia="楷体" w:cs="Times New Roman"/>
          <w:bCs/>
          <w:sz w:val="21"/>
          <w:szCs w:val="21"/>
          <w14:ligatures w14:val="none"/>
        </w:rPr>
      </w:pPr>
      <w:r>
        <w:rPr>
          <w:rFonts w:hint="eastAsia" w:ascii="Times New Roman" w:hAnsi="Times New Roman" w:eastAsia="仿宋" w:cs="仿宋"/>
          <w:sz w:val="24"/>
          <w14:ligatures w14:val="none"/>
        </w:rPr>
        <w:t>13）</w:t>
      </w:r>
      <w:bookmarkStart w:id="1" w:name="_GoBack"/>
      <w:bookmarkEnd w:id="1"/>
      <w:r>
        <w:rPr>
          <w:rFonts w:hint="eastAsia" w:ascii="Times New Roman" w:hAnsi="Times New Roman" w:eastAsia="仿宋" w:cs="仿宋"/>
          <w:sz w:val="24"/>
          <w14:ligatures w14:val="none"/>
        </w:rPr>
        <w:t>备品备件：</w:t>
      </w:r>
    </w:p>
    <w:p w14:paraId="30D9FE6E">
      <w:pPr>
        <w:spacing w:before="0" w:after="0"/>
        <w:ind w:firstLine="482" w:firstLineChars="0"/>
        <w:jc w:val="both"/>
        <w:rPr>
          <w:rFonts w:ascii="Times New Roman" w:hAnsi="Times New Roman" w:eastAsia="仿宋" w:cs="仿宋"/>
          <w:sz w:val="24"/>
          <w14:ligatures w14:val="none"/>
        </w:rPr>
      </w:pPr>
      <w:r>
        <w:rPr>
          <w:rFonts w:hint="eastAsia" w:ascii="楷体" w:hAnsi="Calibri" w:eastAsia="楷体" w:cs="Times New Roman"/>
          <w:bCs/>
          <w:sz w:val="21"/>
          <w:szCs w:val="21"/>
          <w14:ligatures w14:val="none"/>
        </w:rPr>
        <w:t>a.</w:t>
      </w:r>
      <w:r>
        <w:rPr>
          <w:rFonts w:hint="eastAsia" w:ascii="Times New Roman" w:hAnsi="Times New Roman" w:eastAsia="仿宋" w:cs="仿宋"/>
          <w:sz w:val="24"/>
          <w14:ligatures w14:val="none"/>
        </w:rPr>
        <w:t>提供一级减压全套配件和不少于3路二级减压所需要的全套配件作为备件，含过滤器、手动截止阀、手动调压阀和压力表等；</w:t>
      </w:r>
    </w:p>
    <w:p w14:paraId="3602822D">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b.提供以下备件用于下游管路集成：DN4导管连接件260套；DN6导管连接件300套；DN10导管连接件260套；DN20导管连接件80套；DN4导管连接件堵头60套；DN10安全阀10件；DN10手动截止阀10件；DN10安全阀10件；</w:t>
      </w:r>
    </w:p>
    <w:p w14:paraId="1948C560">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14）焊接要求：对接焊缝进行射线检验，不低于NB/T47013中II级焊缝要求；</w:t>
      </w:r>
    </w:p>
    <w:p w14:paraId="17C8C33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15）高压配气供应系统管路需脱油脱脂、酸洗钝化处理，焊接处需酸洗钝化不允许有蓝色氧化物，管路系统焊接后进行内窥镜检测；</w:t>
      </w:r>
    </w:p>
    <w:p w14:paraId="0BF64943">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16）高压配气供应系统设计完成后，图纸会签完成确认后方可加工生产。</w:t>
      </w:r>
    </w:p>
    <w:p w14:paraId="026543DE">
      <w:pPr>
        <w:spacing w:before="0" w:after="0"/>
        <w:ind w:firstLine="0"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3.4.2 主要组成部件技术要求</w:t>
      </w:r>
    </w:p>
    <w:p w14:paraId="01E95BCB">
      <w:pPr>
        <w:spacing w:before="0" w:after="0"/>
        <w:ind w:firstLine="482"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1）手动调压阀技术要求</w:t>
      </w:r>
    </w:p>
    <w:p w14:paraId="70731A71">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a.介质：空气/氮气等；</w:t>
      </w:r>
    </w:p>
    <w:p w14:paraId="0ACA4B86">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szCs w:val="22"/>
          <w14:ligatures w14:val="none"/>
        </w:rPr>
        <w:t>b.</w:t>
      </w:r>
      <w:r>
        <w:rPr>
          <w:rFonts w:hint="eastAsia" w:ascii="Times New Roman" w:hAnsi="Times New Roman" w:eastAsia="仿宋" w:cs="仿宋"/>
          <w:sz w:val="24"/>
          <w14:ligatures w14:val="none"/>
        </w:rPr>
        <w:t>工作环境温度：-20～+50℃；</w:t>
      </w:r>
    </w:p>
    <w:p w14:paraId="0DC003DD">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c.材质要求：阀体采用06Cr19Ni10锻件，满足</w:t>
      </w:r>
      <w:r>
        <w:rPr>
          <w:rFonts w:ascii="Times New Roman" w:hAnsi="Times New Roman" w:eastAsia="仿宋" w:cs="仿宋"/>
          <w:sz w:val="24"/>
          <w14:ligatures w14:val="none"/>
        </w:rPr>
        <w:t>NB/T47010-2017</w:t>
      </w:r>
      <w:r>
        <w:rPr>
          <w:rFonts w:hint="eastAsia" w:ascii="Times New Roman" w:hAnsi="Times New Roman" w:eastAsia="仿宋" w:cs="仿宋"/>
          <w:sz w:val="24"/>
          <w14:ligatures w14:val="none"/>
        </w:rPr>
        <w:t>中II级锻件及以上要求</w:t>
      </w:r>
      <w:r>
        <w:rPr>
          <w:rFonts w:hint="eastAsia" w:ascii="Times New Roman" w:hAnsi="Times New Roman" w:eastAsia="仿宋" w:cs="仿宋"/>
          <w:sz w:val="24"/>
          <w:szCs w:val="22"/>
          <w14:ligatures w14:val="none"/>
        </w:rPr>
        <w:t>；</w:t>
      </w:r>
    </w:p>
    <w:p w14:paraId="1A60E0E5">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szCs w:val="22"/>
          <w14:ligatures w14:val="none"/>
        </w:rPr>
        <w:t>d.工作压力：一级减压器入口工作压力范围15~32MPa，出口压力范围</w:t>
      </w:r>
      <w:r>
        <w:rPr>
          <w:rFonts w:hint="eastAsia" w:ascii="Times New Roman" w:hAnsi="Times New Roman" w:eastAsia="仿宋" w:cs="仿宋"/>
          <w:sz w:val="24"/>
          <w14:ligatures w14:val="none"/>
        </w:rPr>
        <w:t>5~23MPa，二</w:t>
      </w:r>
      <w:r>
        <w:rPr>
          <w:rFonts w:hint="eastAsia" w:ascii="Times New Roman" w:hAnsi="Times New Roman" w:eastAsia="仿宋" w:cs="仿宋"/>
          <w:sz w:val="24"/>
          <w:szCs w:val="22"/>
          <w14:ligatures w14:val="none"/>
        </w:rPr>
        <w:t>级减压器入口最高压力23MPa，出口压力范围</w:t>
      </w:r>
      <w:r>
        <w:rPr>
          <w:rFonts w:hint="eastAsia" w:ascii="Times New Roman" w:hAnsi="Times New Roman" w:eastAsia="仿宋" w:cs="仿宋"/>
          <w:sz w:val="24"/>
          <w14:ligatures w14:val="none"/>
        </w:rPr>
        <w:t>0.2~10MPa；</w:t>
      </w:r>
    </w:p>
    <w:p w14:paraId="11A08018">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e.制造装配：配合面和密封面不得有划伤、斑疤和压伤等缺陷；</w:t>
      </w:r>
    </w:p>
    <w:p w14:paraId="555ED675">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f.耐压强度：调压阀阀体在1.5倍公称压力下，保压10min不允许泄漏和永久变形；</w:t>
      </w:r>
    </w:p>
    <w:p w14:paraId="31007527">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g.气密性：调压阀在规定入口压力下，不调压，保持30min，出口压力仍为零表压；工作特性测试要求：减压阀工作稳定，不允许有跳动、卡滞等异常现象；</w:t>
      </w:r>
    </w:p>
    <w:p w14:paraId="799B345A">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h.调压精度要求：将调压阀出口压力调到最大值，使出口压力由最大降到最小值，其出口压力变化值应在相应公称出口压力值5%的范围内；</w:t>
      </w:r>
    </w:p>
    <w:p w14:paraId="52346312">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i.接口形式：37°导管连接件连接。</w:t>
      </w:r>
    </w:p>
    <w:p w14:paraId="3EC9857A">
      <w:pPr>
        <w:spacing w:before="0" w:after="0"/>
        <w:ind w:firstLine="482"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2）手动截止阀技术要求</w:t>
      </w:r>
    </w:p>
    <w:p w14:paraId="54126E4A">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a.介质：空气/氮气等；</w:t>
      </w:r>
    </w:p>
    <w:p w14:paraId="621DE5F9">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szCs w:val="22"/>
          <w14:ligatures w14:val="none"/>
        </w:rPr>
        <w:t>b.</w:t>
      </w:r>
      <w:r>
        <w:rPr>
          <w:rFonts w:hint="eastAsia" w:ascii="Times New Roman" w:hAnsi="Times New Roman" w:eastAsia="仿宋" w:cs="仿宋"/>
          <w:sz w:val="24"/>
          <w14:ligatures w14:val="none"/>
        </w:rPr>
        <w:t>工作环境温度：-20～+50℃；</w:t>
      </w:r>
    </w:p>
    <w:p w14:paraId="300C5A2C">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c.材质要求：阀体采用06Cr19Ni10锻件，满足</w:t>
      </w:r>
      <w:r>
        <w:rPr>
          <w:rFonts w:ascii="Times New Roman" w:hAnsi="Times New Roman" w:eastAsia="仿宋" w:cs="仿宋"/>
          <w:sz w:val="24"/>
          <w14:ligatures w14:val="none"/>
        </w:rPr>
        <w:t>NB/T47010-2017</w:t>
      </w:r>
      <w:r>
        <w:rPr>
          <w:rFonts w:hint="eastAsia" w:ascii="Times New Roman" w:hAnsi="Times New Roman" w:eastAsia="仿宋" w:cs="仿宋"/>
          <w:sz w:val="24"/>
          <w14:ligatures w14:val="none"/>
        </w:rPr>
        <w:t>中II级锻件及以上要求</w:t>
      </w:r>
      <w:r>
        <w:rPr>
          <w:rFonts w:hint="eastAsia" w:ascii="Times New Roman" w:hAnsi="Times New Roman" w:eastAsia="仿宋" w:cs="仿宋"/>
          <w:sz w:val="24"/>
          <w:szCs w:val="22"/>
          <w14:ligatures w14:val="none"/>
        </w:rPr>
        <w:t>；</w:t>
      </w:r>
    </w:p>
    <w:p w14:paraId="64EC2638">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szCs w:val="22"/>
          <w14:ligatures w14:val="none"/>
        </w:rPr>
        <w:t>d.</w:t>
      </w:r>
      <w:r>
        <w:rPr>
          <w:rFonts w:hint="eastAsia" w:ascii="Times New Roman" w:hAnsi="Times New Roman" w:eastAsia="仿宋" w:cs="仿宋"/>
          <w:sz w:val="24"/>
          <w14:ligatures w14:val="none"/>
        </w:rPr>
        <w:t>制造装配：配合面和密封面不得有划伤、斑疤和压伤等缺陷；</w:t>
      </w:r>
    </w:p>
    <w:p w14:paraId="5283232F">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e.耐压强度：阀体在1.5倍公称压力下，保压5min不允许泄漏和变形；</w:t>
      </w:r>
    </w:p>
    <w:p w14:paraId="0BE9B10C">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f.气密性：通入1.1倍公称压力的压缩空气，保压5min应无泄漏；</w:t>
      </w:r>
      <w:r>
        <w:rPr>
          <w:rFonts w:ascii="Times New Roman" w:hAnsi="Times New Roman" w:eastAsia="仿宋" w:cs="仿宋"/>
          <w:sz w:val="24"/>
          <w14:ligatures w14:val="none"/>
        </w:rPr>
        <w:t xml:space="preserve"> </w:t>
      </w:r>
    </w:p>
    <w:p w14:paraId="1F39CD36">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g.接口形式：37°导管连接件连接。</w:t>
      </w:r>
    </w:p>
    <w:p w14:paraId="07825EC5">
      <w:pPr>
        <w:spacing w:before="0" w:after="0"/>
        <w:ind w:firstLine="482"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3）安全阀技术要求</w:t>
      </w:r>
    </w:p>
    <w:p w14:paraId="2F7A705A">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a.介质：空气/氮气等；</w:t>
      </w:r>
    </w:p>
    <w:p w14:paraId="0734FCCC">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szCs w:val="22"/>
          <w14:ligatures w14:val="none"/>
        </w:rPr>
        <w:t>b.</w:t>
      </w:r>
      <w:r>
        <w:rPr>
          <w:rFonts w:hint="eastAsia" w:ascii="Times New Roman" w:hAnsi="Times New Roman" w:eastAsia="仿宋" w:cs="仿宋"/>
          <w:sz w:val="24"/>
          <w14:ligatures w14:val="none"/>
        </w:rPr>
        <w:t>工作环境温度：-20℃～+50℃；</w:t>
      </w:r>
    </w:p>
    <w:p w14:paraId="16D2D842">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c.材质要求：阀体采用06Cr19Ni10锻件；</w:t>
      </w:r>
    </w:p>
    <w:p w14:paraId="31BF0DA8">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szCs w:val="22"/>
          <w14:ligatures w14:val="none"/>
        </w:rPr>
        <w:t>d.</w:t>
      </w:r>
      <w:r>
        <w:rPr>
          <w:rFonts w:hint="eastAsia" w:ascii="Times New Roman" w:hAnsi="Times New Roman" w:eastAsia="仿宋" w:cs="仿宋"/>
          <w:sz w:val="24"/>
          <w14:ligatures w14:val="none"/>
        </w:rPr>
        <w:t>制造装配：配合面和密封面不得有划伤、斑疤和压伤等缺陷；</w:t>
      </w:r>
    </w:p>
    <w:p w14:paraId="097BA9EC">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e.耐压强度：阀体在1.5倍公称压力下，保压5min不允许泄漏和变形；</w:t>
      </w:r>
    </w:p>
    <w:p w14:paraId="68326593">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f.气密性：通入90%的开启压力，保压5min应无泄漏；</w:t>
      </w:r>
    </w:p>
    <w:p w14:paraId="706FA3FF">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g.动作性能要求：开启压力为1.1倍的公称压力，开启压力偏差为±3%的开启压力；</w:t>
      </w:r>
    </w:p>
    <w:p w14:paraId="05F3678D">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h.接口形式：37°导管连接件连接。</w:t>
      </w:r>
    </w:p>
    <w:p w14:paraId="65D82DB7">
      <w:pPr>
        <w:spacing w:before="0" w:after="0"/>
        <w:ind w:firstLine="482"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4）过滤器技术要求</w:t>
      </w:r>
    </w:p>
    <w:p w14:paraId="315EA6BD">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14:ligatures w14:val="none"/>
        </w:rPr>
        <w:t>a.</w:t>
      </w:r>
      <w:r>
        <w:rPr>
          <w:rFonts w:hint="eastAsia" w:ascii="Times New Roman" w:hAnsi="Times New Roman" w:eastAsia="仿宋" w:cs="仿宋"/>
          <w:sz w:val="24"/>
          <w:szCs w:val="22"/>
          <w14:ligatures w14:val="none"/>
        </w:rPr>
        <w:t>介质：空气/氮气等；</w:t>
      </w:r>
    </w:p>
    <w:p w14:paraId="172F71A9">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szCs w:val="22"/>
          <w14:ligatures w14:val="none"/>
        </w:rPr>
        <w:t>b.</w:t>
      </w:r>
      <w:r>
        <w:rPr>
          <w:rFonts w:hint="eastAsia" w:ascii="Times New Roman" w:hAnsi="Times New Roman" w:eastAsia="仿宋" w:cs="仿宋"/>
          <w:sz w:val="24"/>
          <w14:ligatures w14:val="none"/>
        </w:rPr>
        <w:t>工作环境温度：-20℃～+50℃；</w:t>
      </w:r>
    </w:p>
    <w:p w14:paraId="1228216F">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c.材质要求：阀体采用06Cr19Ni10锻件；</w:t>
      </w:r>
    </w:p>
    <w:p w14:paraId="28976C47">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szCs w:val="22"/>
          <w14:ligatures w14:val="none"/>
        </w:rPr>
        <w:t>d.</w:t>
      </w:r>
      <w:r>
        <w:rPr>
          <w:rFonts w:hint="eastAsia" w:ascii="Times New Roman" w:hAnsi="Times New Roman" w:eastAsia="仿宋" w:cs="仿宋"/>
          <w:sz w:val="24"/>
          <w14:ligatures w14:val="none"/>
        </w:rPr>
        <w:t>制造装配：配合面和密封面不得有划伤、斑疤和压伤等缺陷，过滤器骨架不允许有毛刺、飞边、锈斑等缺陷，过滤器出厂前需进行干洁处理，确保过滤器内壁和滤网无水珠及多余物残留；</w:t>
      </w:r>
    </w:p>
    <w:p w14:paraId="5421A82C">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e.耐压强度：阀体在1.5倍公称压力下，保压5min不允许泄漏和变形；</w:t>
      </w:r>
    </w:p>
    <w:p w14:paraId="2A3D8BA8">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f.气密性：通入1.1倍公称压力，保压5min应无泄漏；</w:t>
      </w:r>
    </w:p>
    <w:p w14:paraId="1623868C">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g.过滤精度：最终过滤精度不超过10微米；</w:t>
      </w:r>
    </w:p>
    <w:p w14:paraId="6BED6C84">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h.接口形式：37°导管连接件连接。</w:t>
      </w:r>
    </w:p>
    <w:p w14:paraId="0E6904FC">
      <w:pPr>
        <w:spacing w:before="0" w:after="0"/>
        <w:ind w:firstLine="482"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5）压力表技术要求</w:t>
      </w:r>
    </w:p>
    <w:p w14:paraId="6DF0E2EE">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14:ligatures w14:val="none"/>
        </w:rPr>
        <w:t>a.</w:t>
      </w:r>
      <w:r>
        <w:rPr>
          <w:rFonts w:hint="eastAsia" w:ascii="Times New Roman" w:hAnsi="Times New Roman" w:eastAsia="仿宋" w:cs="仿宋"/>
          <w:sz w:val="24"/>
          <w:szCs w:val="22"/>
          <w14:ligatures w14:val="none"/>
        </w:rPr>
        <w:t>.介质：空气/氮气等；</w:t>
      </w:r>
    </w:p>
    <w:p w14:paraId="4D3EA4D1">
      <w:pPr>
        <w:spacing w:before="0" w:after="0"/>
        <w:ind w:firstLine="482" w:firstLineChars="0"/>
        <w:jc w:val="both"/>
        <w:rPr>
          <w:rFonts w:ascii="Times New Roman" w:hAnsi="Times New Roman" w:eastAsia="仿宋" w:cs="仿宋"/>
          <w:sz w:val="24"/>
          <w14:ligatures w14:val="none"/>
        </w:rPr>
      </w:pPr>
      <w:r>
        <w:rPr>
          <w:rFonts w:hint="eastAsia" w:ascii="Times New Roman" w:hAnsi="Times New Roman" w:eastAsia="仿宋" w:cs="仿宋"/>
          <w:sz w:val="24"/>
          <w:szCs w:val="22"/>
          <w14:ligatures w14:val="none"/>
        </w:rPr>
        <w:t>b.</w:t>
      </w:r>
      <w:r>
        <w:rPr>
          <w:rFonts w:hint="eastAsia" w:ascii="Times New Roman" w:hAnsi="Times New Roman" w:eastAsia="仿宋" w:cs="仿宋"/>
          <w:sz w:val="24"/>
          <w14:ligatures w14:val="none"/>
        </w:rPr>
        <w:t>工作环境温度：-20～+50℃；</w:t>
      </w:r>
    </w:p>
    <w:p w14:paraId="7745D68A">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c.制造装配：禁油处理；</w:t>
      </w:r>
    </w:p>
    <w:p w14:paraId="4D446C8F">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d.量程要求：应为额定工作压力的1.5～3倍。</w:t>
      </w:r>
    </w:p>
    <w:p w14:paraId="550590AD">
      <w:pPr>
        <w:spacing w:before="0" w:after="0"/>
        <w:ind w:firstLine="482" w:firstLineChars="0"/>
        <w:jc w:val="both"/>
        <w:rPr>
          <w:rFonts w:ascii="Times New Roman" w:hAnsi="Times New Roman" w:eastAsia="仿宋" w:cs="仿宋"/>
          <w:b/>
          <w:bCs/>
          <w:sz w:val="24"/>
          <w14:ligatures w14:val="none"/>
        </w:rPr>
      </w:pPr>
      <w:r>
        <w:rPr>
          <w:rFonts w:hint="eastAsia" w:ascii="Times New Roman" w:hAnsi="Times New Roman" w:eastAsia="仿宋" w:cs="仿宋"/>
          <w:b/>
          <w:bCs/>
          <w:sz w:val="24"/>
          <w14:ligatures w14:val="none"/>
        </w:rPr>
        <w:t>6）导管连接件技术要求</w:t>
      </w:r>
    </w:p>
    <w:p w14:paraId="518C17CF">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14:ligatures w14:val="none"/>
        </w:rPr>
        <w:t>a.</w:t>
      </w:r>
      <w:r>
        <w:rPr>
          <w:rFonts w:hint="eastAsia" w:ascii="Times New Roman" w:hAnsi="Times New Roman" w:eastAsia="仿宋" w:cs="仿宋"/>
          <w:sz w:val="24"/>
          <w:szCs w:val="22"/>
          <w14:ligatures w14:val="none"/>
        </w:rPr>
        <w:t>材质要求：06Cr19Ni10；</w:t>
      </w:r>
    </w:p>
    <w:p w14:paraId="067A4DAC">
      <w:pPr>
        <w:spacing w:before="0" w:after="0"/>
        <w:ind w:firstLine="48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b.表面光洁度要求：导管表面不许有腐蚀斑点,导管内不应有任何擦伤和腐蚀痕迹；</w:t>
      </w:r>
    </w:p>
    <w:p w14:paraId="1D02816C">
      <w:pPr>
        <w:spacing w:before="0" w:after="0"/>
        <w:ind w:firstLine="482" w:firstLineChars="0"/>
        <w:jc w:val="both"/>
        <w:rPr>
          <w:rFonts w:ascii="Times New Roman" w:hAnsi="Times New Roman" w:eastAsia="仿宋" w:cs="仿宋"/>
          <w:sz w:val="24"/>
          <w:szCs w:val="22"/>
          <w14:ligatures w14:val="none"/>
        </w:rPr>
      </w:pPr>
      <w:r>
        <w:rPr>
          <w:rFonts w:hint="eastAsia" w:ascii="Times New Roman" w:hAnsi="Times New Roman" w:eastAsia="仿宋" w:cs="仿宋"/>
          <w:sz w:val="24"/>
          <w:szCs w:val="22"/>
          <w14:ligatures w14:val="none"/>
        </w:rPr>
        <w:t>c.表面处理要求：进行酸洗处理、脱脂处理，清洗后用干燥压缩空气进行吹除，内壁表面应保证洁净、无油脂，无杂质等其他多余物。</w:t>
      </w:r>
    </w:p>
    <w:p w14:paraId="042BE015">
      <w:pPr>
        <w:spacing w:before="0" w:after="0"/>
        <w:ind w:firstLine="0" w:firstLineChars="0"/>
        <w:jc w:val="both"/>
        <w:rPr>
          <w:rFonts w:ascii="Times New Roman" w:hAnsi="Times New Roman" w:cs="Times New Roman"/>
          <w:sz w:val="21"/>
          <w14:ligatures w14:val="none"/>
        </w:rPr>
      </w:pPr>
      <w:r>
        <w:rPr>
          <w:rFonts w:hint="eastAsia" w:ascii="Times New Roman" w:hAnsi="Times New Roman" w:eastAsia="仿宋" w:cs="仿宋"/>
          <w:b/>
          <w:bCs/>
          <w:sz w:val="24"/>
          <w14:ligatures w14:val="none"/>
        </w:rPr>
        <w:t>3.4.3提供文件</w:t>
      </w:r>
    </w:p>
    <w:p w14:paraId="224042EC">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（1）配气台整体设计方案及相关图纸</w:t>
      </w:r>
      <w:r>
        <w:rPr>
          <w:rFonts w:ascii="Times New Roman" w:hAnsi="Times New Roman" w:eastAsia="仿宋" w:cs="仿宋"/>
          <w:sz w:val="24"/>
          <w14:ligatures w14:val="none"/>
        </w:rPr>
        <w:t>；</w:t>
      </w:r>
    </w:p>
    <w:p w14:paraId="1654218B">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（2）</w:t>
      </w:r>
      <w:r>
        <w:rPr>
          <w:rFonts w:ascii="Times New Roman" w:hAnsi="Times New Roman" w:eastAsia="仿宋" w:cs="仿宋"/>
          <w:sz w:val="24"/>
          <w14:ligatures w14:val="none"/>
        </w:rPr>
        <w:t>产品合格证</w:t>
      </w:r>
      <w:r>
        <w:rPr>
          <w:rFonts w:hint="eastAsia" w:ascii="Times New Roman" w:hAnsi="Times New Roman" w:eastAsia="仿宋" w:cs="仿宋"/>
          <w:sz w:val="24"/>
          <w14:ligatures w14:val="none"/>
        </w:rPr>
        <w:t>；</w:t>
      </w:r>
    </w:p>
    <w:p w14:paraId="349781C0">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（3）原材料材质合格证明单、具备检验资质单位出具的材质复验检测报告</w:t>
      </w:r>
      <w:r>
        <w:rPr>
          <w:rFonts w:ascii="Times New Roman" w:hAnsi="Times New Roman" w:eastAsia="仿宋" w:cs="仿宋"/>
          <w:sz w:val="24"/>
          <w14:ligatures w14:val="none"/>
        </w:rPr>
        <w:t>；</w:t>
      </w:r>
    </w:p>
    <w:p w14:paraId="33597BB1">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（4）强度试验、气密试验报告</w:t>
      </w:r>
      <w:r>
        <w:rPr>
          <w:rFonts w:ascii="Times New Roman" w:hAnsi="Times New Roman" w:eastAsia="仿宋" w:cs="仿宋"/>
          <w:sz w:val="24"/>
          <w14:ligatures w14:val="none"/>
        </w:rPr>
        <w:t>；</w:t>
      </w:r>
    </w:p>
    <w:p w14:paraId="0AEB0015">
      <w:pPr>
        <w:spacing w:before="0" w:after="0"/>
        <w:ind w:firstLine="480"/>
        <w:jc w:val="both"/>
        <w:rPr>
          <w:rFonts w:ascii="Times New Roman" w:hAnsi="Times New Roman" w:eastAsia="仿宋" w:cs="仿宋"/>
          <w:sz w:val="24"/>
          <w14:ligatures w14:val="none"/>
        </w:rPr>
      </w:pPr>
      <w:r>
        <w:rPr>
          <w:rFonts w:hint="eastAsia" w:ascii="Times New Roman" w:hAnsi="Times New Roman" w:eastAsia="仿宋" w:cs="仿宋"/>
          <w:sz w:val="24"/>
          <w14:ligatures w14:val="none"/>
        </w:rPr>
        <w:t>（5）</w:t>
      </w:r>
      <w:r>
        <w:rPr>
          <w:rFonts w:ascii="Times New Roman" w:hAnsi="Times New Roman" w:eastAsia="仿宋" w:cs="仿宋"/>
          <w:sz w:val="24"/>
          <w14:ligatures w14:val="none"/>
        </w:rPr>
        <w:t>锻件</w:t>
      </w:r>
      <w:r>
        <w:rPr>
          <w:rFonts w:hint="eastAsia" w:ascii="Times New Roman" w:hAnsi="Times New Roman" w:eastAsia="仿宋" w:cs="仿宋"/>
          <w:sz w:val="24"/>
          <w14:ligatures w14:val="none"/>
        </w:rPr>
        <w:t>原材料</w:t>
      </w:r>
      <w:r>
        <w:rPr>
          <w:rFonts w:ascii="Times New Roman" w:hAnsi="Times New Roman" w:eastAsia="仿宋" w:cs="仿宋"/>
          <w:sz w:val="24"/>
          <w14:ligatures w14:val="none"/>
        </w:rPr>
        <w:t>合格证、化学成分检测报告（具备资质的第三方检测机构）、力学性能试验报告、超声检测报告、硬度测试报告、外观质量检测</w:t>
      </w:r>
      <w:r>
        <w:rPr>
          <w:rFonts w:hint="eastAsia" w:ascii="Times New Roman" w:hAnsi="Times New Roman" w:eastAsia="仿宋" w:cs="仿宋"/>
          <w:sz w:val="24"/>
          <w14:ligatures w14:val="none"/>
        </w:rPr>
        <w:t>报告等。</w:t>
      </w:r>
    </w:p>
    <w:p w14:paraId="62F82206">
      <w:pPr>
        <w:ind w:firstLine="440"/>
        <w:rPr>
          <w:rFonts w:ascii="Times New Roman" w:hAnsi="Times New Roman" w:eastAsia="仿宋" w:cs="Times New Roman"/>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40"/>
      </w:pPr>
      <w:r>
        <w:separator/>
      </w:r>
    </w:p>
  </w:endnote>
  <w:endnote w:type="continuationSeparator" w:id="1">
    <w:p>
      <w:pPr>
        <w:spacing w:line="240" w:lineRule="auto"/>
        <w:ind w:firstLine="4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Arial Unicode MS">
    <w:altName w:val="Malgun Gothic Semilight"/>
    <w:panose1 w:val="020B0604020202020204"/>
    <w:charset w:val="86"/>
    <w:family w:val="swiss"/>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B9E11">
    <w:pPr>
      <w:pStyle w:val="15"/>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D866A3">
    <w:pPr>
      <w:pStyle w:val="15"/>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2F505C">
    <w:pPr>
      <w:pStyle w:val="15"/>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ind w:firstLine="440"/>
      </w:pPr>
      <w:r>
        <w:separator/>
      </w:r>
    </w:p>
  </w:footnote>
  <w:footnote w:type="continuationSeparator" w:id="1">
    <w:p>
      <w:pPr>
        <w:spacing w:before="0" w:after="0" w:line="360" w:lineRule="auto"/>
        <w:ind w:firstLine="4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06317">
    <w:pPr>
      <w:pStyle w:val="16"/>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43297">
    <w:pPr>
      <w:pStyle w:val="16"/>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B3F5FF">
    <w:pPr>
      <w:pStyle w:val="16"/>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0DD"/>
    <w:rsid w:val="00004D25"/>
    <w:rsid w:val="000200D4"/>
    <w:rsid w:val="00031E34"/>
    <w:rsid w:val="00033681"/>
    <w:rsid w:val="00045C7C"/>
    <w:rsid w:val="0004607F"/>
    <w:rsid w:val="00052902"/>
    <w:rsid w:val="00065ABB"/>
    <w:rsid w:val="00074196"/>
    <w:rsid w:val="00082B40"/>
    <w:rsid w:val="000A0809"/>
    <w:rsid w:val="000A3A22"/>
    <w:rsid w:val="000B0C67"/>
    <w:rsid w:val="000B2516"/>
    <w:rsid w:val="000C12ED"/>
    <w:rsid w:val="000C4BA6"/>
    <w:rsid w:val="000C774F"/>
    <w:rsid w:val="000D20FE"/>
    <w:rsid w:val="000D3596"/>
    <w:rsid w:val="000D7949"/>
    <w:rsid w:val="000E437E"/>
    <w:rsid w:val="000F0252"/>
    <w:rsid w:val="00107414"/>
    <w:rsid w:val="001222B6"/>
    <w:rsid w:val="00131A52"/>
    <w:rsid w:val="00135FAD"/>
    <w:rsid w:val="00137688"/>
    <w:rsid w:val="00150344"/>
    <w:rsid w:val="001664E5"/>
    <w:rsid w:val="00172756"/>
    <w:rsid w:val="00184870"/>
    <w:rsid w:val="00192AB6"/>
    <w:rsid w:val="00193914"/>
    <w:rsid w:val="001A1590"/>
    <w:rsid w:val="001C1DFA"/>
    <w:rsid w:val="001C709A"/>
    <w:rsid w:val="001D3154"/>
    <w:rsid w:val="001D7136"/>
    <w:rsid w:val="001E187E"/>
    <w:rsid w:val="001E361E"/>
    <w:rsid w:val="001E3FF9"/>
    <w:rsid w:val="001F27A6"/>
    <w:rsid w:val="001F3A86"/>
    <w:rsid w:val="001F5A9F"/>
    <w:rsid w:val="00200331"/>
    <w:rsid w:val="00203501"/>
    <w:rsid w:val="00204DF2"/>
    <w:rsid w:val="00213799"/>
    <w:rsid w:val="00213A79"/>
    <w:rsid w:val="002155FE"/>
    <w:rsid w:val="0021583A"/>
    <w:rsid w:val="002438BF"/>
    <w:rsid w:val="00246FDF"/>
    <w:rsid w:val="0026780A"/>
    <w:rsid w:val="002678D8"/>
    <w:rsid w:val="00267D01"/>
    <w:rsid w:val="00267E17"/>
    <w:rsid w:val="002719CE"/>
    <w:rsid w:val="00275EE4"/>
    <w:rsid w:val="00280906"/>
    <w:rsid w:val="00283060"/>
    <w:rsid w:val="002860B8"/>
    <w:rsid w:val="00287C5A"/>
    <w:rsid w:val="002922C7"/>
    <w:rsid w:val="00294C2A"/>
    <w:rsid w:val="00297832"/>
    <w:rsid w:val="002A1362"/>
    <w:rsid w:val="002A745A"/>
    <w:rsid w:val="002B14B6"/>
    <w:rsid w:val="002C1506"/>
    <w:rsid w:val="002C701F"/>
    <w:rsid w:val="002F3966"/>
    <w:rsid w:val="00301CC4"/>
    <w:rsid w:val="00305B82"/>
    <w:rsid w:val="00322ADD"/>
    <w:rsid w:val="00322D4D"/>
    <w:rsid w:val="003430AF"/>
    <w:rsid w:val="0034561B"/>
    <w:rsid w:val="00353766"/>
    <w:rsid w:val="00353F6F"/>
    <w:rsid w:val="00374AD2"/>
    <w:rsid w:val="0037558E"/>
    <w:rsid w:val="003823B4"/>
    <w:rsid w:val="003922F7"/>
    <w:rsid w:val="00394353"/>
    <w:rsid w:val="003A623A"/>
    <w:rsid w:val="003A624A"/>
    <w:rsid w:val="003B29DF"/>
    <w:rsid w:val="003B4EBC"/>
    <w:rsid w:val="003B529C"/>
    <w:rsid w:val="003C68E3"/>
    <w:rsid w:val="003D1CBA"/>
    <w:rsid w:val="003D3C30"/>
    <w:rsid w:val="003D4A8C"/>
    <w:rsid w:val="003D56ED"/>
    <w:rsid w:val="003D7479"/>
    <w:rsid w:val="003E5436"/>
    <w:rsid w:val="003F2A34"/>
    <w:rsid w:val="00407E24"/>
    <w:rsid w:val="004142AA"/>
    <w:rsid w:val="00414B2A"/>
    <w:rsid w:val="004302B6"/>
    <w:rsid w:val="00436425"/>
    <w:rsid w:val="004432F6"/>
    <w:rsid w:val="00443530"/>
    <w:rsid w:val="004447E9"/>
    <w:rsid w:val="00456FE8"/>
    <w:rsid w:val="004605D2"/>
    <w:rsid w:val="00472CE6"/>
    <w:rsid w:val="0047387A"/>
    <w:rsid w:val="004A3AE4"/>
    <w:rsid w:val="004A6072"/>
    <w:rsid w:val="004B1532"/>
    <w:rsid w:val="004C1643"/>
    <w:rsid w:val="004C24BF"/>
    <w:rsid w:val="004D4C8E"/>
    <w:rsid w:val="004E4CDD"/>
    <w:rsid w:val="004E5A89"/>
    <w:rsid w:val="004F19F6"/>
    <w:rsid w:val="00505D71"/>
    <w:rsid w:val="00510FD7"/>
    <w:rsid w:val="005123D8"/>
    <w:rsid w:val="0051590E"/>
    <w:rsid w:val="0052143A"/>
    <w:rsid w:val="00525584"/>
    <w:rsid w:val="005317C9"/>
    <w:rsid w:val="005335BC"/>
    <w:rsid w:val="00534F81"/>
    <w:rsid w:val="00536CA4"/>
    <w:rsid w:val="0054138F"/>
    <w:rsid w:val="00550079"/>
    <w:rsid w:val="00550B32"/>
    <w:rsid w:val="00557147"/>
    <w:rsid w:val="00562047"/>
    <w:rsid w:val="00564E58"/>
    <w:rsid w:val="0056594F"/>
    <w:rsid w:val="0059394F"/>
    <w:rsid w:val="005B31BA"/>
    <w:rsid w:val="005B37AD"/>
    <w:rsid w:val="005B7D38"/>
    <w:rsid w:val="005C2A78"/>
    <w:rsid w:val="005C3518"/>
    <w:rsid w:val="005C4655"/>
    <w:rsid w:val="005C7D40"/>
    <w:rsid w:val="005D0A1F"/>
    <w:rsid w:val="005E7360"/>
    <w:rsid w:val="005F7602"/>
    <w:rsid w:val="00603D97"/>
    <w:rsid w:val="00623CE8"/>
    <w:rsid w:val="006257F4"/>
    <w:rsid w:val="0064321F"/>
    <w:rsid w:val="006464F2"/>
    <w:rsid w:val="00651F05"/>
    <w:rsid w:val="00665B9C"/>
    <w:rsid w:val="00685699"/>
    <w:rsid w:val="006B235B"/>
    <w:rsid w:val="006B3B5C"/>
    <w:rsid w:val="006B66AC"/>
    <w:rsid w:val="006B7540"/>
    <w:rsid w:val="006C445A"/>
    <w:rsid w:val="006E4046"/>
    <w:rsid w:val="006E6363"/>
    <w:rsid w:val="006E77AD"/>
    <w:rsid w:val="006F3362"/>
    <w:rsid w:val="00701B36"/>
    <w:rsid w:val="007167ED"/>
    <w:rsid w:val="00721DD3"/>
    <w:rsid w:val="00723F91"/>
    <w:rsid w:val="00730868"/>
    <w:rsid w:val="00735078"/>
    <w:rsid w:val="00735BCA"/>
    <w:rsid w:val="00750678"/>
    <w:rsid w:val="007712A8"/>
    <w:rsid w:val="00774BCC"/>
    <w:rsid w:val="00793479"/>
    <w:rsid w:val="007A2A4A"/>
    <w:rsid w:val="007A5928"/>
    <w:rsid w:val="007B2B07"/>
    <w:rsid w:val="007C243E"/>
    <w:rsid w:val="007C44B0"/>
    <w:rsid w:val="007D0BDD"/>
    <w:rsid w:val="007D134C"/>
    <w:rsid w:val="007E5D14"/>
    <w:rsid w:val="007E6AC3"/>
    <w:rsid w:val="007F14AB"/>
    <w:rsid w:val="00800B40"/>
    <w:rsid w:val="008207E9"/>
    <w:rsid w:val="00831CEA"/>
    <w:rsid w:val="00836B09"/>
    <w:rsid w:val="00842224"/>
    <w:rsid w:val="00861C7C"/>
    <w:rsid w:val="00880888"/>
    <w:rsid w:val="00882DC8"/>
    <w:rsid w:val="00890DF3"/>
    <w:rsid w:val="00893FE6"/>
    <w:rsid w:val="00894CE8"/>
    <w:rsid w:val="008D49A6"/>
    <w:rsid w:val="008D4A6B"/>
    <w:rsid w:val="008D7DD1"/>
    <w:rsid w:val="008E1E0C"/>
    <w:rsid w:val="00903D0B"/>
    <w:rsid w:val="00912FF0"/>
    <w:rsid w:val="00927CE0"/>
    <w:rsid w:val="00931F13"/>
    <w:rsid w:val="0093385E"/>
    <w:rsid w:val="009428D0"/>
    <w:rsid w:val="009470E9"/>
    <w:rsid w:val="00953297"/>
    <w:rsid w:val="00960233"/>
    <w:rsid w:val="00961054"/>
    <w:rsid w:val="009672D2"/>
    <w:rsid w:val="0097104D"/>
    <w:rsid w:val="009711FE"/>
    <w:rsid w:val="009867F5"/>
    <w:rsid w:val="009A063E"/>
    <w:rsid w:val="009B6599"/>
    <w:rsid w:val="009B6BC8"/>
    <w:rsid w:val="009B762E"/>
    <w:rsid w:val="009C0CD6"/>
    <w:rsid w:val="009C6D33"/>
    <w:rsid w:val="009D233D"/>
    <w:rsid w:val="009D52E5"/>
    <w:rsid w:val="009E7270"/>
    <w:rsid w:val="009F285C"/>
    <w:rsid w:val="009F4116"/>
    <w:rsid w:val="009F6076"/>
    <w:rsid w:val="00A05312"/>
    <w:rsid w:val="00A15D65"/>
    <w:rsid w:val="00A22E0E"/>
    <w:rsid w:val="00A2353E"/>
    <w:rsid w:val="00A32F3F"/>
    <w:rsid w:val="00A36C77"/>
    <w:rsid w:val="00A51117"/>
    <w:rsid w:val="00A553E8"/>
    <w:rsid w:val="00A554B9"/>
    <w:rsid w:val="00A6345C"/>
    <w:rsid w:val="00A663FC"/>
    <w:rsid w:val="00A73186"/>
    <w:rsid w:val="00A80A2B"/>
    <w:rsid w:val="00A83719"/>
    <w:rsid w:val="00AB6EE2"/>
    <w:rsid w:val="00AC336C"/>
    <w:rsid w:val="00AC3A32"/>
    <w:rsid w:val="00AC56F4"/>
    <w:rsid w:val="00AC6704"/>
    <w:rsid w:val="00B00636"/>
    <w:rsid w:val="00B015ED"/>
    <w:rsid w:val="00B1076F"/>
    <w:rsid w:val="00B21D73"/>
    <w:rsid w:val="00B22A4A"/>
    <w:rsid w:val="00B32B06"/>
    <w:rsid w:val="00B32D2C"/>
    <w:rsid w:val="00B34AD1"/>
    <w:rsid w:val="00B44EDF"/>
    <w:rsid w:val="00B54F75"/>
    <w:rsid w:val="00B620D9"/>
    <w:rsid w:val="00B64036"/>
    <w:rsid w:val="00B65763"/>
    <w:rsid w:val="00B67233"/>
    <w:rsid w:val="00B7151F"/>
    <w:rsid w:val="00B746DE"/>
    <w:rsid w:val="00B80816"/>
    <w:rsid w:val="00B80D62"/>
    <w:rsid w:val="00B8347B"/>
    <w:rsid w:val="00B84A06"/>
    <w:rsid w:val="00BC10BB"/>
    <w:rsid w:val="00BC2294"/>
    <w:rsid w:val="00BD2FCE"/>
    <w:rsid w:val="00BF2122"/>
    <w:rsid w:val="00BF4799"/>
    <w:rsid w:val="00BF7CE6"/>
    <w:rsid w:val="00C00C64"/>
    <w:rsid w:val="00C0441E"/>
    <w:rsid w:val="00C14DC4"/>
    <w:rsid w:val="00C16431"/>
    <w:rsid w:val="00C23CFF"/>
    <w:rsid w:val="00C24DFA"/>
    <w:rsid w:val="00C336D1"/>
    <w:rsid w:val="00C34A83"/>
    <w:rsid w:val="00C370B6"/>
    <w:rsid w:val="00C43E62"/>
    <w:rsid w:val="00C51AB5"/>
    <w:rsid w:val="00C5681C"/>
    <w:rsid w:val="00C570C7"/>
    <w:rsid w:val="00C60AF5"/>
    <w:rsid w:val="00C6140F"/>
    <w:rsid w:val="00C80F2A"/>
    <w:rsid w:val="00CC0062"/>
    <w:rsid w:val="00CC4B49"/>
    <w:rsid w:val="00CD0AF2"/>
    <w:rsid w:val="00CD34A4"/>
    <w:rsid w:val="00CD56D3"/>
    <w:rsid w:val="00CE3285"/>
    <w:rsid w:val="00CE32DB"/>
    <w:rsid w:val="00CF1ACF"/>
    <w:rsid w:val="00CF7C4F"/>
    <w:rsid w:val="00D12CEA"/>
    <w:rsid w:val="00D25628"/>
    <w:rsid w:val="00D262AE"/>
    <w:rsid w:val="00D33E4F"/>
    <w:rsid w:val="00D40114"/>
    <w:rsid w:val="00D406CC"/>
    <w:rsid w:val="00D443B8"/>
    <w:rsid w:val="00D46562"/>
    <w:rsid w:val="00D55EA3"/>
    <w:rsid w:val="00D66AB0"/>
    <w:rsid w:val="00D75DF2"/>
    <w:rsid w:val="00D77D32"/>
    <w:rsid w:val="00D81B4C"/>
    <w:rsid w:val="00D9241C"/>
    <w:rsid w:val="00D97984"/>
    <w:rsid w:val="00DB0526"/>
    <w:rsid w:val="00DC0A47"/>
    <w:rsid w:val="00DC15E4"/>
    <w:rsid w:val="00DC2D9F"/>
    <w:rsid w:val="00DD65E3"/>
    <w:rsid w:val="00DE49A5"/>
    <w:rsid w:val="00DE6234"/>
    <w:rsid w:val="00E05F52"/>
    <w:rsid w:val="00E13B87"/>
    <w:rsid w:val="00E4486F"/>
    <w:rsid w:val="00E52CAD"/>
    <w:rsid w:val="00E53052"/>
    <w:rsid w:val="00E80B04"/>
    <w:rsid w:val="00E81681"/>
    <w:rsid w:val="00E84C4E"/>
    <w:rsid w:val="00E95560"/>
    <w:rsid w:val="00EA2F5D"/>
    <w:rsid w:val="00EA60DD"/>
    <w:rsid w:val="00EA6FC2"/>
    <w:rsid w:val="00EA770B"/>
    <w:rsid w:val="00EA7C0B"/>
    <w:rsid w:val="00EB44BE"/>
    <w:rsid w:val="00EB6332"/>
    <w:rsid w:val="00EB65CA"/>
    <w:rsid w:val="00EC53B1"/>
    <w:rsid w:val="00ED6809"/>
    <w:rsid w:val="00ED7FA8"/>
    <w:rsid w:val="00F061B7"/>
    <w:rsid w:val="00F210D5"/>
    <w:rsid w:val="00F231D6"/>
    <w:rsid w:val="00F2405A"/>
    <w:rsid w:val="00F24437"/>
    <w:rsid w:val="00F26318"/>
    <w:rsid w:val="00F30D8C"/>
    <w:rsid w:val="00F31105"/>
    <w:rsid w:val="00F54E16"/>
    <w:rsid w:val="00F56C31"/>
    <w:rsid w:val="00F62CD8"/>
    <w:rsid w:val="00F66210"/>
    <w:rsid w:val="00F7406D"/>
    <w:rsid w:val="00F76CC6"/>
    <w:rsid w:val="00F8226F"/>
    <w:rsid w:val="00F90959"/>
    <w:rsid w:val="00F9396F"/>
    <w:rsid w:val="00F968C8"/>
    <w:rsid w:val="00FA4B48"/>
    <w:rsid w:val="00FA4ECF"/>
    <w:rsid w:val="00FA5563"/>
    <w:rsid w:val="00FC5ADB"/>
    <w:rsid w:val="00FC607F"/>
    <w:rsid w:val="00FE635A"/>
    <w:rsid w:val="00FF3EB2"/>
    <w:rsid w:val="00FF730E"/>
    <w:rsid w:val="160F1B46"/>
    <w:rsid w:val="34C436E4"/>
    <w:rsid w:val="37E434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before="60" w:after="60" w:line="360" w:lineRule="auto"/>
      <w:ind w:firstLine="200" w:firstLineChars="200"/>
    </w:pPr>
    <w:rPr>
      <w:rFonts w:ascii="宋体" w:hAnsi="宋体" w:eastAsia="宋体" w:cstheme="minorBidi"/>
      <w:kern w:val="2"/>
      <w:sz w:val="22"/>
      <w:szCs w:val="24"/>
      <w:lang w:val="en-US" w:eastAsia="zh-CN" w:bidi="ar-SA"/>
      <w14:ligatures w14:val="standardContextual"/>
    </w:rPr>
  </w:style>
  <w:style w:type="paragraph" w:styleId="2">
    <w:name w:val="heading 1"/>
    <w:basedOn w:val="1"/>
    <w:next w:val="1"/>
    <w:link w:val="25"/>
    <w:qFormat/>
    <w:uiPriority w:val="9"/>
    <w:pPr>
      <w:keepNext/>
      <w:keepLines/>
      <w:spacing w:before="120" w:after="120"/>
      <w:ind w:firstLine="0" w:firstLineChars="0"/>
      <w:outlineLvl w:val="0"/>
    </w:pPr>
    <w:rPr>
      <w:rFonts w:eastAsia="微软雅黑" w:cstheme="majorBidi"/>
      <w:b/>
      <w:color w:val="2F5597" w:themeColor="accent1" w:themeShade="BF"/>
      <w:sz w:val="24"/>
      <w:szCs w:val="48"/>
    </w:rPr>
  </w:style>
  <w:style w:type="paragraph" w:styleId="3">
    <w:name w:val="heading 2"/>
    <w:basedOn w:val="1"/>
    <w:next w:val="1"/>
    <w:link w:val="26"/>
    <w:unhideWhenUsed/>
    <w:qFormat/>
    <w:uiPriority w:val="9"/>
    <w:pPr>
      <w:keepNext/>
      <w:keepLines/>
      <w:ind w:firstLine="0" w:firstLineChars="0"/>
      <w:outlineLvl w:val="1"/>
    </w:pPr>
    <w:rPr>
      <w:rFonts w:eastAsia="仿宋_GB2312" w:cstheme="majorBidi"/>
      <w:b/>
      <w:color w:val="000000" w:themeColor="text1"/>
      <w:sz w:val="24"/>
      <w:szCs w:val="40"/>
      <w14:textFill>
        <w14:solidFill>
          <w14:schemeClr w14:val="tx1"/>
        </w14:solidFill>
      </w14:textFill>
    </w:rPr>
  </w:style>
  <w:style w:type="paragraph" w:styleId="4">
    <w:name w:val="heading 3"/>
    <w:basedOn w:val="1"/>
    <w:next w:val="1"/>
    <w:link w:val="27"/>
    <w:unhideWhenUsed/>
    <w:qFormat/>
    <w:uiPriority w:val="9"/>
    <w:pPr>
      <w:keepNext/>
      <w:keepLines/>
      <w:spacing w:before="160" w:after="80"/>
      <w:ind w:firstLine="0" w:firstLineChars="0"/>
      <w:outlineLvl w:val="2"/>
    </w:pPr>
    <w:rPr>
      <w:rFonts w:eastAsia="仿宋_GB2312" w:cstheme="majorBidi"/>
      <w:b/>
      <w:color w:val="000000" w:themeColor="text1"/>
      <w:sz w:val="24"/>
      <w:szCs w:val="32"/>
      <w14:textFill>
        <w14:solidFill>
          <w14:schemeClr w14:val="tx1"/>
        </w14:solidFill>
      </w14:textFill>
    </w:rPr>
  </w:style>
  <w:style w:type="paragraph" w:styleId="5">
    <w:name w:val="heading 4"/>
    <w:basedOn w:val="1"/>
    <w:next w:val="1"/>
    <w:link w:val="28"/>
    <w:unhideWhenUsed/>
    <w:qFormat/>
    <w:uiPriority w:val="9"/>
    <w:pPr>
      <w:keepNext/>
      <w:keepLines/>
      <w:ind w:firstLine="0" w:firstLineChars="0"/>
      <w:outlineLvl w:val="3"/>
    </w:pPr>
    <w:rPr>
      <w:rFonts w:eastAsia="仿宋_GB2312" w:cstheme="majorBidi"/>
      <w:b/>
      <w:color w:val="000000" w:themeColor="text1"/>
      <w:sz w:val="24"/>
      <w:szCs w:val="28"/>
      <w14:textFill>
        <w14:solidFill>
          <w14:schemeClr w14:val="tx1"/>
        </w14:solidFill>
      </w14:textFill>
    </w:rPr>
  </w:style>
  <w:style w:type="paragraph" w:styleId="6">
    <w:name w:val="heading 5"/>
    <w:basedOn w:val="1"/>
    <w:next w:val="1"/>
    <w:link w:val="29"/>
    <w:semiHidden/>
    <w:unhideWhenUsed/>
    <w:qFormat/>
    <w:uiPriority w:val="9"/>
    <w:pPr>
      <w:keepNext/>
      <w:keepLines/>
      <w:spacing w:before="80" w:after="40"/>
      <w:outlineLvl w:val="4"/>
    </w:pPr>
    <w:rPr>
      <w:rFonts w:cstheme="majorBidi"/>
      <w:color w:val="2F5597" w:themeColor="accent1" w:themeShade="BF"/>
      <w:sz w:val="24"/>
    </w:rPr>
  </w:style>
  <w:style w:type="paragraph" w:styleId="7">
    <w:name w:val="heading 6"/>
    <w:basedOn w:val="1"/>
    <w:next w:val="1"/>
    <w:link w:val="30"/>
    <w:semiHidden/>
    <w:unhideWhenUsed/>
    <w:qFormat/>
    <w:uiPriority w:val="9"/>
    <w:pPr>
      <w:keepNext/>
      <w:keepLines/>
      <w:spacing w:before="40" w:after="0"/>
      <w:outlineLvl w:val="5"/>
    </w:pPr>
    <w:rPr>
      <w:rFonts w:cstheme="majorBidi"/>
      <w:b/>
      <w:bCs/>
      <w:color w:val="2F5597" w:themeColor="accent1" w:themeShade="BF"/>
    </w:rPr>
  </w:style>
  <w:style w:type="paragraph" w:styleId="8">
    <w:name w:val="heading 7"/>
    <w:basedOn w:val="1"/>
    <w:next w:val="1"/>
    <w:link w:val="31"/>
    <w:semiHidden/>
    <w:unhideWhenUsed/>
    <w:qFormat/>
    <w:uiPriority w:val="9"/>
    <w:pPr>
      <w:keepNext/>
      <w:keepLines/>
      <w:spacing w:before="40" w:after="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2"/>
    <w:semiHidden/>
    <w:unhideWhenUsed/>
    <w:qFormat/>
    <w:uiPriority w:val="9"/>
    <w:pPr>
      <w:keepNext/>
      <w:keepLines/>
      <w:spacing w:after="0"/>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3"/>
    <w:semiHidden/>
    <w:unhideWhenUsed/>
    <w:qFormat/>
    <w:uiPriority w:val="9"/>
    <w:pPr>
      <w:keepNext/>
      <w:keepLines/>
      <w:spacing w:after="0"/>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semiHidden/>
    <w:unhideWhenUsed/>
    <w:qFormat/>
    <w:uiPriority w:val="99"/>
    <w:pPr>
      <w:ind w:firstLine="420"/>
    </w:pPr>
  </w:style>
  <w:style w:type="paragraph" w:styleId="12">
    <w:name w:val="annotation text"/>
    <w:basedOn w:val="1"/>
    <w:link w:val="53"/>
    <w:autoRedefine/>
    <w:qFormat/>
    <w:uiPriority w:val="0"/>
    <w:pPr>
      <w:spacing w:after="0" w:line="240" w:lineRule="auto"/>
    </w:pPr>
    <w:rPr>
      <w:rFonts w:ascii="Times New Roman" w:hAnsi="Times New Roman" w:cs="Times New Roman"/>
      <w:sz w:val="21"/>
      <w14:ligatures w14:val="none"/>
    </w:rPr>
  </w:style>
  <w:style w:type="paragraph" w:styleId="13">
    <w:name w:val="Body Text"/>
    <w:basedOn w:val="1"/>
    <w:link w:val="46"/>
    <w:qFormat/>
    <w:uiPriority w:val="0"/>
    <w:pPr>
      <w:spacing w:after="0"/>
      <w:jc w:val="both"/>
    </w:pPr>
    <w:rPr>
      <w:rFonts w:ascii="Times New Roman" w:hAnsi="Times New Roman" w:cs="Times New Roman"/>
      <w:sz w:val="24"/>
      <w:szCs w:val="20"/>
    </w:rPr>
  </w:style>
  <w:style w:type="paragraph" w:styleId="14">
    <w:name w:val="Body Text Indent"/>
    <w:basedOn w:val="1"/>
    <w:link w:val="48"/>
    <w:semiHidden/>
    <w:unhideWhenUsed/>
    <w:qFormat/>
    <w:uiPriority w:val="99"/>
    <w:pPr>
      <w:spacing w:after="120"/>
      <w:ind w:left="420" w:leftChars="200"/>
    </w:pPr>
  </w:style>
  <w:style w:type="paragraph" w:styleId="15">
    <w:name w:val="footer"/>
    <w:basedOn w:val="1"/>
    <w:link w:val="44"/>
    <w:unhideWhenUsed/>
    <w:qFormat/>
    <w:uiPriority w:val="99"/>
    <w:pPr>
      <w:tabs>
        <w:tab w:val="center" w:pos="4153"/>
        <w:tab w:val="right" w:pos="8306"/>
      </w:tabs>
      <w:snapToGrid w:val="0"/>
      <w:spacing w:line="240" w:lineRule="auto"/>
    </w:pPr>
    <w:rPr>
      <w:sz w:val="18"/>
      <w:szCs w:val="18"/>
    </w:rPr>
  </w:style>
  <w:style w:type="paragraph" w:styleId="16">
    <w:name w:val="header"/>
    <w:basedOn w:val="1"/>
    <w:link w:val="43"/>
    <w:unhideWhenUsed/>
    <w:qFormat/>
    <w:uiPriority w:val="99"/>
    <w:pPr>
      <w:tabs>
        <w:tab w:val="center" w:pos="4153"/>
        <w:tab w:val="right" w:pos="8306"/>
      </w:tabs>
      <w:snapToGrid w:val="0"/>
      <w:spacing w:line="240" w:lineRule="auto"/>
      <w:jc w:val="center"/>
    </w:pPr>
    <w:rPr>
      <w:sz w:val="18"/>
      <w:szCs w:val="18"/>
    </w:rPr>
  </w:style>
  <w:style w:type="paragraph" w:styleId="17">
    <w:name w:val="Subtitle"/>
    <w:basedOn w:val="1"/>
    <w:next w:val="1"/>
    <w:link w:val="35"/>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34"/>
    <w:qFormat/>
    <w:uiPriority w:val="10"/>
    <w:pPr>
      <w:spacing w:after="80" w:line="240" w:lineRule="auto"/>
      <w:contextualSpacing/>
      <w:jc w:val="center"/>
    </w:pPr>
    <w:rPr>
      <w:rFonts w:asciiTheme="majorHAnsi" w:hAnsiTheme="majorHAnsi" w:eastAsiaTheme="majorEastAsia" w:cstheme="majorBidi"/>
      <w:spacing w:val="-10"/>
      <w:kern w:val="28"/>
      <w:sz w:val="56"/>
      <w:szCs w:val="56"/>
    </w:rPr>
  </w:style>
  <w:style w:type="paragraph" w:styleId="19">
    <w:name w:val="annotation subject"/>
    <w:basedOn w:val="12"/>
    <w:next w:val="12"/>
    <w:link w:val="57"/>
    <w:semiHidden/>
    <w:unhideWhenUsed/>
    <w:qFormat/>
    <w:uiPriority w:val="99"/>
    <w:pPr>
      <w:spacing w:after="60" w:line="360" w:lineRule="auto"/>
    </w:pPr>
    <w:rPr>
      <w:rFonts w:ascii="宋体" w:hAnsi="宋体" w:cstheme="minorBidi"/>
      <w:b/>
      <w:bCs/>
      <w:sz w:val="22"/>
      <w14:ligatures w14:val="standardContextual"/>
    </w:rPr>
  </w:style>
  <w:style w:type="paragraph" w:styleId="20">
    <w:name w:val="Body Text First Indent 2"/>
    <w:basedOn w:val="14"/>
    <w:next w:val="11"/>
    <w:link w:val="49"/>
    <w:qFormat/>
    <w:uiPriority w:val="0"/>
    <w:pPr>
      <w:spacing w:line="240" w:lineRule="auto"/>
      <w:ind w:firstLine="420"/>
      <w:jc w:val="both"/>
    </w:pPr>
    <w:rPr>
      <w:rFonts w:ascii="Calibri" w:hAnsi="Calibri" w:cs="Times New Roman"/>
      <w:sz w:val="21"/>
      <w14:ligatures w14:val="none"/>
    </w:rPr>
  </w:style>
  <w:style w:type="table" w:styleId="22">
    <w:name w:val="Table Grid"/>
    <w:basedOn w:val="21"/>
    <w:qFormat/>
    <w:uiPriority w:val="39"/>
    <w:rPr>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annotation reference"/>
    <w:unhideWhenUsed/>
    <w:qFormat/>
    <w:uiPriority w:val="0"/>
    <w:rPr>
      <w:sz w:val="21"/>
      <w:szCs w:val="21"/>
    </w:rPr>
  </w:style>
  <w:style w:type="character" w:customStyle="1" w:styleId="25">
    <w:name w:val="标题 1 字符"/>
    <w:basedOn w:val="23"/>
    <w:link w:val="2"/>
    <w:qFormat/>
    <w:uiPriority w:val="9"/>
    <w:rPr>
      <w:rFonts w:ascii="宋体" w:hAnsi="宋体" w:eastAsia="微软雅黑" w:cstheme="majorBidi"/>
      <w:b/>
      <w:color w:val="2F5597" w:themeColor="accent1" w:themeShade="BF"/>
      <w:sz w:val="24"/>
      <w:szCs w:val="48"/>
    </w:rPr>
  </w:style>
  <w:style w:type="character" w:customStyle="1" w:styleId="26">
    <w:name w:val="标题 2 字符"/>
    <w:basedOn w:val="23"/>
    <w:link w:val="3"/>
    <w:qFormat/>
    <w:uiPriority w:val="9"/>
    <w:rPr>
      <w:rFonts w:ascii="宋体" w:hAnsi="宋体" w:eastAsia="仿宋_GB2312" w:cstheme="majorBidi"/>
      <w:b/>
      <w:color w:val="000000" w:themeColor="text1"/>
      <w:kern w:val="2"/>
      <w:sz w:val="24"/>
      <w:szCs w:val="40"/>
      <w14:textFill>
        <w14:solidFill>
          <w14:schemeClr w14:val="tx1"/>
        </w14:solidFill>
      </w14:textFill>
      <w14:ligatures w14:val="standardContextual"/>
    </w:rPr>
  </w:style>
  <w:style w:type="character" w:customStyle="1" w:styleId="27">
    <w:name w:val="标题 3 字符"/>
    <w:basedOn w:val="23"/>
    <w:link w:val="4"/>
    <w:qFormat/>
    <w:uiPriority w:val="9"/>
    <w:rPr>
      <w:rFonts w:ascii="宋体" w:hAnsi="宋体" w:eastAsia="仿宋_GB2312" w:cstheme="majorBidi"/>
      <w:b/>
      <w:color w:val="000000" w:themeColor="text1"/>
      <w:kern w:val="2"/>
      <w:sz w:val="24"/>
      <w:szCs w:val="32"/>
      <w14:textFill>
        <w14:solidFill>
          <w14:schemeClr w14:val="tx1"/>
        </w14:solidFill>
      </w14:textFill>
      <w14:ligatures w14:val="standardContextual"/>
    </w:rPr>
  </w:style>
  <w:style w:type="character" w:customStyle="1" w:styleId="28">
    <w:name w:val="标题 4 字符"/>
    <w:basedOn w:val="23"/>
    <w:link w:val="5"/>
    <w:qFormat/>
    <w:uiPriority w:val="9"/>
    <w:rPr>
      <w:rFonts w:ascii="宋体" w:hAnsi="宋体" w:eastAsia="仿宋_GB2312" w:cstheme="majorBidi"/>
      <w:b/>
      <w:color w:val="000000" w:themeColor="text1"/>
      <w:kern w:val="2"/>
      <w:sz w:val="24"/>
      <w:szCs w:val="28"/>
      <w14:textFill>
        <w14:solidFill>
          <w14:schemeClr w14:val="tx1"/>
        </w14:solidFill>
      </w14:textFill>
      <w14:ligatures w14:val="standardContextual"/>
    </w:rPr>
  </w:style>
  <w:style w:type="character" w:customStyle="1" w:styleId="29">
    <w:name w:val="标题 5 字符"/>
    <w:basedOn w:val="23"/>
    <w:link w:val="6"/>
    <w:semiHidden/>
    <w:qFormat/>
    <w:uiPriority w:val="9"/>
    <w:rPr>
      <w:rFonts w:cstheme="majorBidi"/>
      <w:color w:val="2F5597" w:themeColor="accent1" w:themeShade="BF"/>
      <w:sz w:val="24"/>
    </w:rPr>
  </w:style>
  <w:style w:type="character" w:customStyle="1" w:styleId="30">
    <w:name w:val="标题 6 字符"/>
    <w:basedOn w:val="23"/>
    <w:link w:val="7"/>
    <w:semiHidden/>
    <w:qFormat/>
    <w:uiPriority w:val="9"/>
    <w:rPr>
      <w:rFonts w:cstheme="majorBidi"/>
      <w:b/>
      <w:bCs/>
      <w:color w:val="2F5597" w:themeColor="accent1" w:themeShade="BF"/>
    </w:rPr>
  </w:style>
  <w:style w:type="character" w:customStyle="1" w:styleId="31">
    <w:name w:val="标题 7 字符"/>
    <w:basedOn w:val="23"/>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2">
    <w:name w:val="标题 8 字符"/>
    <w:basedOn w:val="23"/>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3">
    <w:name w:val="标题 9 字符"/>
    <w:basedOn w:val="23"/>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4">
    <w:name w:val="标题 字符"/>
    <w:basedOn w:val="23"/>
    <w:link w:val="18"/>
    <w:qFormat/>
    <w:uiPriority w:val="10"/>
    <w:rPr>
      <w:rFonts w:asciiTheme="majorHAnsi" w:hAnsiTheme="majorHAnsi" w:eastAsiaTheme="majorEastAsia" w:cstheme="majorBidi"/>
      <w:spacing w:val="-10"/>
      <w:kern w:val="28"/>
      <w:sz w:val="56"/>
      <w:szCs w:val="56"/>
    </w:rPr>
  </w:style>
  <w:style w:type="character" w:customStyle="1" w:styleId="35">
    <w:name w:val="副标题 字符"/>
    <w:basedOn w:val="23"/>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6">
    <w:name w:val="Quote"/>
    <w:basedOn w:val="1"/>
    <w:next w:val="1"/>
    <w:link w:val="3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7">
    <w:name w:val="引用 字符"/>
    <w:basedOn w:val="23"/>
    <w:link w:val="36"/>
    <w:qFormat/>
    <w:uiPriority w:val="29"/>
    <w:rPr>
      <w:i/>
      <w:iCs/>
      <w:color w:val="404040" w:themeColor="text1" w:themeTint="BF"/>
      <w14:textFill>
        <w14:solidFill>
          <w14:schemeClr w14:val="tx1">
            <w14:lumMod w14:val="75000"/>
            <w14:lumOff w14:val="25000"/>
          </w14:schemeClr>
        </w14:solidFill>
      </w14:textFill>
    </w:rPr>
  </w:style>
  <w:style w:type="paragraph" w:styleId="38">
    <w:name w:val="List Paragraph"/>
    <w:basedOn w:val="1"/>
    <w:qFormat/>
    <w:uiPriority w:val="34"/>
    <w:pPr>
      <w:ind w:left="720"/>
      <w:contextualSpacing/>
    </w:pPr>
  </w:style>
  <w:style w:type="character" w:customStyle="1" w:styleId="39">
    <w:name w:val="明显强调1"/>
    <w:basedOn w:val="23"/>
    <w:qFormat/>
    <w:uiPriority w:val="21"/>
    <w:rPr>
      <w:i/>
      <w:iCs/>
      <w:color w:val="2F5597" w:themeColor="accent1" w:themeShade="BF"/>
    </w:rPr>
  </w:style>
  <w:style w:type="paragraph" w:styleId="40">
    <w:name w:val="Intense Quote"/>
    <w:basedOn w:val="1"/>
    <w:next w:val="1"/>
    <w:link w:val="4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41">
    <w:name w:val="明显引用 字符"/>
    <w:basedOn w:val="23"/>
    <w:link w:val="40"/>
    <w:qFormat/>
    <w:uiPriority w:val="30"/>
    <w:rPr>
      <w:i/>
      <w:iCs/>
      <w:color w:val="2F5597" w:themeColor="accent1" w:themeShade="BF"/>
    </w:rPr>
  </w:style>
  <w:style w:type="character" w:customStyle="1" w:styleId="42">
    <w:name w:val="明显参考1"/>
    <w:basedOn w:val="23"/>
    <w:qFormat/>
    <w:uiPriority w:val="32"/>
    <w:rPr>
      <w:b/>
      <w:bCs/>
      <w:smallCaps/>
      <w:color w:val="2F5597" w:themeColor="accent1" w:themeShade="BF"/>
      <w:spacing w:val="5"/>
    </w:rPr>
  </w:style>
  <w:style w:type="character" w:customStyle="1" w:styleId="43">
    <w:name w:val="页眉 字符"/>
    <w:basedOn w:val="23"/>
    <w:link w:val="16"/>
    <w:qFormat/>
    <w:uiPriority w:val="99"/>
    <w:rPr>
      <w:sz w:val="18"/>
      <w:szCs w:val="18"/>
    </w:rPr>
  </w:style>
  <w:style w:type="character" w:customStyle="1" w:styleId="44">
    <w:name w:val="页脚 字符"/>
    <w:basedOn w:val="23"/>
    <w:link w:val="15"/>
    <w:qFormat/>
    <w:uiPriority w:val="99"/>
    <w:rPr>
      <w:sz w:val="18"/>
      <w:szCs w:val="18"/>
    </w:rPr>
  </w:style>
  <w:style w:type="table" w:customStyle="1" w:styleId="45">
    <w:name w:val="网格型1"/>
    <w:basedOn w:val="2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6">
    <w:name w:val="正文文本 字符1"/>
    <w:link w:val="13"/>
    <w:qFormat/>
    <w:uiPriority w:val="0"/>
    <w:rPr>
      <w:rFonts w:ascii="Times New Roman" w:hAnsi="Times New Roman" w:eastAsia="宋体" w:cs="Times New Roman"/>
      <w:sz w:val="24"/>
      <w:szCs w:val="20"/>
    </w:rPr>
  </w:style>
  <w:style w:type="character" w:customStyle="1" w:styleId="47">
    <w:name w:val="正文文本 字符"/>
    <w:basedOn w:val="23"/>
    <w:semiHidden/>
    <w:qFormat/>
    <w:uiPriority w:val="99"/>
  </w:style>
  <w:style w:type="character" w:customStyle="1" w:styleId="48">
    <w:name w:val="正文文本缩进 字符"/>
    <w:basedOn w:val="23"/>
    <w:link w:val="14"/>
    <w:semiHidden/>
    <w:qFormat/>
    <w:uiPriority w:val="99"/>
  </w:style>
  <w:style w:type="character" w:customStyle="1" w:styleId="49">
    <w:name w:val="正文文本首行缩进 2 字符"/>
    <w:basedOn w:val="48"/>
    <w:link w:val="20"/>
    <w:qFormat/>
    <w:uiPriority w:val="0"/>
    <w:rPr>
      <w:rFonts w:ascii="Calibri" w:hAnsi="Calibri" w:eastAsia="宋体" w:cs="Times New Roman"/>
      <w:sz w:val="21"/>
      <w14:ligatures w14:val="none"/>
    </w:rPr>
  </w:style>
  <w:style w:type="paragraph" w:customStyle="1" w:styleId="50">
    <w:name w:val="列出段落1"/>
    <w:basedOn w:val="1"/>
    <w:next w:val="1"/>
    <w:qFormat/>
    <w:uiPriority w:val="0"/>
    <w:pPr>
      <w:spacing w:after="0" w:line="240" w:lineRule="auto"/>
      <w:ind w:firstLine="420"/>
      <w:jc w:val="both"/>
    </w:pPr>
    <w:rPr>
      <w:rFonts w:ascii="Calibri" w:hAnsi="Calibri" w:cs="Times New Roman"/>
      <w:sz w:val="21"/>
      <w:szCs w:val="20"/>
      <w14:ligatures w14:val="none"/>
    </w:rPr>
  </w:style>
  <w:style w:type="paragraph" w:customStyle="1" w:styleId="51">
    <w:name w:val="中文正文"/>
    <w:basedOn w:val="1"/>
    <w:qFormat/>
    <w:uiPriority w:val="0"/>
    <w:pPr>
      <w:spacing w:after="0" w:line="560" w:lineRule="exact"/>
      <w:ind w:firstLine="640"/>
      <w:jc w:val="both"/>
    </w:pPr>
    <w:rPr>
      <w:rFonts w:ascii="Arial Unicode MS" w:hAnsi="Times New Roman" w:eastAsia="Arial Unicode MS" w:cs="Times New Roman"/>
      <w:color w:val="000000"/>
      <w:sz w:val="32"/>
      <w:szCs w:val="32"/>
      <w14:ligatures w14:val="none"/>
    </w:rPr>
  </w:style>
  <w:style w:type="character" w:customStyle="1" w:styleId="52">
    <w:name w:val="批注文字 字符"/>
    <w:basedOn w:val="23"/>
    <w:semiHidden/>
    <w:qFormat/>
    <w:uiPriority w:val="99"/>
  </w:style>
  <w:style w:type="character" w:customStyle="1" w:styleId="53">
    <w:name w:val="批注文字 字符1"/>
    <w:basedOn w:val="23"/>
    <w:link w:val="12"/>
    <w:autoRedefine/>
    <w:qFormat/>
    <w:uiPriority w:val="0"/>
    <w:rPr>
      <w:rFonts w:ascii="Times New Roman" w:hAnsi="Times New Roman" w:eastAsia="宋体" w:cs="Times New Roman"/>
      <w:sz w:val="21"/>
      <w14:ligatures w14:val="none"/>
    </w:rPr>
  </w:style>
  <w:style w:type="paragraph" w:customStyle="1" w:styleId="54">
    <w:name w:val="BodyText"/>
    <w:basedOn w:val="1"/>
    <w:autoRedefine/>
    <w:qFormat/>
    <w:uiPriority w:val="0"/>
    <w:pPr>
      <w:spacing w:after="120" w:line="240" w:lineRule="auto"/>
      <w:jc w:val="both"/>
    </w:pPr>
    <w:rPr>
      <w:kern w:val="0"/>
      <w:sz w:val="20"/>
      <w14:ligatures w14:val="none"/>
    </w:rPr>
  </w:style>
  <w:style w:type="paragraph" w:customStyle="1" w:styleId="55">
    <w:name w:val="修订1"/>
    <w:hidden/>
    <w:semiHidden/>
    <w:qFormat/>
    <w:uiPriority w:val="99"/>
    <w:rPr>
      <w:rFonts w:asciiTheme="minorHAnsi" w:hAnsiTheme="minorHAnsi" w:eastAsiaTheme="minorEastAsia" w:cstheme="minorBidi"/>
      <w:kern w:val="2"/>
      <w:sz w:val="22"/>
      <w:szCs w:val="24"/>
      <w:lang w:val="en-US" w:eastAsia="zh-CN" w:bidi="ar-SA"/>
      <w14:ligatures w14:val="standardContextual"/>
    </w:rPr>
  </w:style>
  <w:style w:type="paragraph" w:customStyle="1" w:styleId="56">
    <w:name w:val="Revision"/>
    <w:hidden/>
    <w:unhideWhenUsed/>
    <w:qFormat/>
    <w:uiPriority w:val="99"/>
    <w:rPr>
      <w:rFonts w:ascii="宋体" w:hAnsi="宋体" w:eastAsia="宋体" w:cstheme="minorBidi"/>
      <w:kern w:val="2"/>
      <w:sz w:val="22"/>
      <w:szCs w:val="24"/>
      <w:lang w:val="en-US" w:eastAsia="zh-CN" w:bidi="ar-SA"/>
      <w14:ligatures w14:val="standardContextual"/>
    </w:rPr>
  </w:style>
  <w:style w:type="character" w:customStyle="1" w:styleId="57">
    <w:name w:val="批注主题 字符"/>
    <w:basedOn w:val="53"/>
    <w:link w:val="19"/>
    <w:semiHidden/>
    <w:qFormat/>
    <w:uiPriority w:val="99"/>
    <w:rPr>
      <w:rFonts w:ascii="宋体" w:hAnsi="宋体" w:eastAsia="宋体" w:cs="Times New Roman"/>
      <w:b/>
      <w:bCs/>
      <w:kern w:val="2"/>
      <w:sz w:val="22"/>
      <w:szCs w:val="24"/>
      <w14:ligatures w14:val="standardContextual"/>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1309</Words>
  <Characters>1705</Characters>
  <Lines>27</Lines>
  <Paragraphs>7</Paragraphs>
  <TotalTime>84</TotalTime>
  <ScaleCrop>false</ScaleCrop>
  <LinksUpToDate>false</LinksUpToDate>
  <CharactersWithSpaces>1712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2025-12-01T03:04:00Z</dcterms:created>
  <dc:creator>严 李</dc:creator>
  <cp:lastModifiedBy>段池</cp:lastModifiedBy>
  <dcterms:modified xsi:type="dcterms:W3CDTF">2026-01-14T01:48:28Z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B9F2FF6B84D7470F92E587DD61C15617_12</vt:lpwstr>
  </property>
</Properties>
</file>