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22C43E">
      <w:pPr>
        <w:spacing w:after="60"/>
        <w:jc w:val="center"/>
        <w:rPr>
          <w:rFonts w:ascii="Times New Roman" w:hAnsi="Times New Roman" w:eastAsia="宋体" w:cs="Times New Roman"/>
          <w:b/>
          <w:sz w:val="32"/>
        </w:rPr>
      </w:pPr>
      <w:r>
        <w:rPr>
          <w:rFonts w:hint="eastAsia" w:ascii="Times New Roman" w:hAnsi="Times New Roman" w:eastAsia="宋体" w:cs="Times New Roman"/>
          <w:b/>
          <w:sz w:val="32"/>
        </w:rPr>
        <w:t>技术参数及配置要求</w:t>
      </w:r>
    </w:p>
    <w:tbl>
      <w:tblPr>
        <w:tblStyle w:val="15"/>
        <w:tblW w:w="153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40" w:type="dxa"/>
          <w:left w:w="40" w:type="dxa"/>
          <w:bottom w:w="40" w:type="dxa"/>
          <w:right w:w="40" w:type="dxa"/>
        </w:tblCellMar>
      </w:tblPr>
      <w:tblGrid>
        <w:gridCol w:w="560"/>
        <w:gridCol w:w="569"/>
        <w:gridCol w:w="12900"/>
        <w:gridCol w:w="708"/>
        <w:gridCol w:w="567"/>
      </w:tblGrid>
      <w:tr w14:paraId="4BE19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rPr>
          <w:tblHeader/>
        </w:trPr>
        <w:tc>
          <w:tcPr>
            <w:tcW w:w="560" w:type="dxa"/>
            <w:shd w:val="clear" w:color="auto" w:fill="E6E6E6"/>
            <w:vAlign w:val="center"/>
          </w:tcPr>
          <w:p w14:paraId="3CC9F9B1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18"/>
              </w:rPr>
              <w:t>序号</w:t>
            </w:r>
          </w:p>
        </w:tc>
        <w:tc>
          <w:tcPr>
            <w:tcW w:w="569" w:type="dxa"/>
            <w:shd w:val="clear" w:color="auto" w:fill="E6E6E6"/>
            <w:vAlign w:val="center"/>
          </w:tcPr>
          <w:p w14:paraId="2B7CD3B8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18"/>
              </w:rPr>
              <w:t>设备名称</w:t>
            </w:r>
          </w:p>
        </w:tc>
        <w:tc>
          <w:tcPr>
            <w:tcW w:w="12900" w:type="dxa"/>
            <w:shd w:val="clear" w:color="auto" w:fill="E6E6E6"/>
            <w:vAlign w:val="center"/>
          </w:tcPr>
          <w:p w14:paraId="2ED59E38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18"/>
              </w:rPr>
              <w:t>技术参数及配置要求</w:t>
            </w:r>
          </w:p>
        </w:tc>
        <w:tc>
          <w:tcPr>
            <w:tcW w:w="708" w:type="dxa"/>
            <w:shd w:val="clear" w:color="auto" w:fill="E6E6E6"/>
            <w:vAlign w:val="center"/>
          </w:tcPr>
          <w:p w14:paraId="5423919A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18"/>
              </w:rPr>
              <w:t>单位</w:t>
            </w:r>
          </w:p>
        </w:tc>
        <w:tc>
          <w:tcPr>
            <w:tcW w:w="567" w:type="dxa"/>
            <w:shd w:val="clear" w:color="auto" w:fill="E6E6E6"/>
            <w:vAlign w:val="center"/>
          </w:tcPr>
          <w:p w14:paraId="739590D1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18"/>
              </w:rPr>
              <w:t>数量</w:t>
            </w:r>
          </w:p>
        </w:tc>
      </w:tr>
      <w:tr w14:paraId="536D1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c>
          <w:tcPr>
            <w:tcW w:w="560" w:type="dxa"/>
          </w:tcPr>
          <w:p w14:paraId="27F3764F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ascii="Times New Roman" w:hAnsi="Times New Roman" w:eastAsia="宋体" w:cs="Times New Roman"/>
                <w:sz w:val="19"/>
              </w:rPr>
              <w:t>1</w:t>
            </w:r>
          </w:p>
        </w:tc>
        <w:tc>
          <w:tcPr>
            <w:tcW w:w="569" w:type="dxa"/>
          </w:tcPr>
          <w:p w14:paraId="420E7E6E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9"/>
              </w:rPr>
              <w:t>计算存储一体服务器</w:t>
            </w:r>
          </w:p>
        </w:tc>
        <w:tc>
          <w:tcPr>
            <w:tcW w:w="12900" w:type="dxa"/>
          </w:tcPr>
          <w:p w14:paraId="0E2218E7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1. 整机：采用适用于高性能计算与本地数据存储的一体化服务器平台，支持双宽GPU安装及高风量散热；机箱为4U机架式或同等级结构，配置额定功率不低于2000W的高效电源，满足满负载稳定运行要求。</w:t>
            </w:r>
          </w:p>
          <w:p w14:paraId="312AB2B2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2. 处理器：配置不少于1颗专业计算级处理器，物理核心数不低于32核、线程数不低于64线程，基础频率不低于3.0GHz，三级缓存不低于128MB或提供同等及以上综合性能。</w:t>
            </w:r>
          </w:p>
          <w:p w14:paraId="438EFF33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3. 内存：配置不低于128GB ECC纠错内存，支持内存纠错和后续扩展。</w:t>
            </w:r>
          </w:p>
          <w:p w14:paraId="7A7D714A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4. 系统盘：配置NVMe固态硬盘，总容量不低于8TB，接口性能不低于PCIe 4.0 x4。</w:t>
            </w:r>
          </w:p>
          <w:p w14:paraId="1BFD4A92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 xml:space="preserve">5. 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数据盘：配置不少于4块企业级CMR机械硬盘，单盘容量不低于16TB，转速不低于7200rpm；支持RAID保护或同等级数据冗余能力。</w:t>
            </w:r>
          </w:p>
          <w:p w14:paraId="4CBB62FD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>6.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 xml:space="preserve"> GPU计算能力：配置不少于2张高性能GPU计算卡，单卡显存不低于32GB、总显存不低于64GB；支持通用GPU并行计算，单卡单精度浮点计算性能不低于100TFLOPS或提供同等及以上性能。</w:t>
            </w:r>
          </w:p>
          <w:p w14:paraId="60516ABB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7. 管理与服务：具备硬件状态监控、异常告警及远程运维能力；供应商负责安装、调试和使用培训，整机免费质保不少于3年。</w:t>
            </w:r>
          </w:p>
        </w:tc>
        <w:tc>
          <w:tcPr>
            <w:tcW w:w="708" w:type="dxa"/>
          </w:tcPr>
          <w:p w14:paraId="2E7878B4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9"/>
              </w:rPr>
              <w:t>套</w:t>
            </w:r>
          </w:p>
        </w:tc>
        <w:tc>
          <w:tcPr>
            <w:tcW w:w="567" w:type="dxa"/>
          </w:tcPr>
          <w:p w14:paraId="5EBB5307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ascii="Times New Roman" w:hAnsi="Times New Roman" w:eastAsia="宋体" w:cs="Times New Roman"/>
                <w:sz w:val="19"/>
              </w:rPr>
              <w:t>1</w:t>
            </w:r>
          </w:p>
        </w:tc>
      </w:tr>
      <w:tr w14:paraId="53B00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c>
          <w:tcPr>
            <w:tcW w:w="560" w:type="dxa"/>
          </w:tcPr>
          <w:p w14:paraId="1A53B284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ascii="Times New Roman" w:hAnsi="Times New Roman" w:eastAsia="宋体" w:cs="Times New Roman"/>
                <w:sz w:val="19"/>
              </w:rPr>
              <w:t>2</w:t>
            </w:r>
          </w:p>
        </w:tc>
        <w:tc>
          <w:tcPr>
            <w:tcW w:w="569" w:type="dxa"/>
          </w:tcPr>
          <w:p w14:paraId="17F43A43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9"/>
              </w:rPr>
              <w:t>神经解码算法计算服务器</w:t>
            </w:r>
          </w:p>
        </w:tc>
        <w:tc>
          <w:tcPr>
            <w:tcW w:w="12900" w:type="dxa"/>
          </w:tcPr>
          <w:p w14:paraId="0FC83E42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1、计算服务器专用平台，支持第4代/第5代 Intel® Xeon® 可扩展处理器，8个DDR5 DIMM 插槽，拥有7个物理PCIe插槽，均支持PCIe 5.0标准；2400W白金电源；提供2个千兆电口和1个IPMI管理口支持KVM远程控制，配备WIFI6无线网络；自带智能监测控制器系统，支持AI智能超频与散热优化，主动式调速、降噪，加强型散热套件，支持关键部件状态监控、异常报警等。</w:t>
            </w:r>
          </w:p>
          <w:p w14:paraId="1009313D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ascii="Times New Roman" w:hAnsi="Times New Roman" w:eastAsia="宋体" w:cs="Times New Roman"/>
                <w:sz w:val="18"/>
              </w:rPr>
              <w:t>2、CPU为48核心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，其中性能核≥24核，</w:t>
            </w:r>
            <w:r>
              <w:rPr>
                <w:rFonts w:ascii="Times New Roman" w:hAnsi="Times New Roman" w:eastAsia="宋体" w:cs="Times New Roman"/>
                <w:sz w:val="18"/>
              </w:rPr>
              <w:t>96线程 基础频率2.4GHz，数量1颗；内存为DDR5 64G 4800MHz RECC，6条合计384G；系统盘为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企业级颗粒</w:t>
            </w:r>
            <w:r>
              <w:rPr>
                <w:rFonts w:ascii="Times New Roman" w:hAnsi="Times New Roman" w:eastAsia="宋体" w:cs="Times New Roman"/>
                <w:sz w:val="18"/>
              </w:rPr>
              <w:t>4T PCIe 4.0 x4 M.2，数量2块；数据盘为企业级硬盘16T 7200转CMR垂直，数量2块；网卡为25G双端口以太网服务器网卡，含多模光模块；配置不少于2张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⾼</w:t>
            </w:r>
            <w:r>
              <w:rPr>
                <w:rFonts w:hint="eastAsia" w:ascii="宋体" w:hAnsi="宋体" w:eastAsia="宋体" w:cs="宋体"/>
                <w:sz w:val="18"/>
              </w:rPr>
              <w:t>性能</w:t>
            </w:r>
            <w:r>
              <w:rPr>
                <w:rFonts w:ascii="Times New Roman" w:hAnsi="Times New Roman" w:eastAsia="宋体" w:cs="Times New Roman"/>
                <w:sz w:val="18"/>
              </w:rPr>
              <w:t>GPU计算卡，单卡显存不低于96GB，算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⼒</w:t>
            </w:r>
            <w:r>
              <w:rPr>
                <w:rFonts w:hint="eastAsia" w:ascii="宋体" w:hAnsi="宋体" w:eastAsia="宋体" w:cs="宋体"/>
                <w:sz w:val="18"/>
              </w:rPr>
              <w:t>匹配</w:t>
            </w:r>
            <w:r>
              <w:rPr>
                <w:rFonts w:ascii="Times New Roman" w:hAnsi="Times New Roman" w:eastAsia="宋体" w:cs="Times New Roman"/>
                <w:sz w:val="18"/>
              </w:rPr>
              <w:t>RTX A6000 blackwell，总显存不低于192GB，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⽀</w:t>
            </w:r>
            <w:r>
              <w:rPr>
                <w:rFonts w:hint="eastAsia" w:ascii="宋体" w:hAnsi="宋体" w:eastAsia="宋体" w:cs="宋体"/>
                <w:sz w:val="18"/>
              </w:rPr>
              <w:t>持</w:t>
            </w:r>
            <w:r>
              <w:rPr>
                <w:rFonts w:ascii="Times New Roman" w:hAnsi="Times New Roman" w:eastAsia="宋体" w:cs="Times New Roman"/>
                <w:sz w:val="18"/>
              </w:rPr>
              <w:t>CUDA或同等级GPU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加速计算环境，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⽀</w:t>
            </w:r>
            <w:r>
              <w:rPr>
                <w:rFonts w:hint="eastAsia" w:ascii="宋体" w:hAnsi="宋体" w:eastAsia="宋体" w:cs="宋体"/>
                <w:sz w:val="18"/>
              </w:rPr>
              <w:t>持</w:t>
            </w:r>
            <w:r>
              <w:rPr>
                <w:rFonts w:ascii="Times New Roman" w:hAnsi="Times New Roman" w:eastAsia="宋体" w:cs="Times New Roman"/>
                <w:sz w:val="18"/>
              </w:rPr>
              <w:t>PyTorch、TensorFlow等主流深度学习框架，专用360液冷散热器；预装Ubuntu22操作系统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。</w:t>
            </w:r>
          </w:p>
          <w:p w14:paraId="4BB29AAC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>3、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搭载计算机终端保密检查系统。主要功能包括系统检查、痕迹检查、文件检查、虚拟机检查、深度核查、系统参数设置。能够准确的对计算机进行有效检查，即时格化磁盘或重装操作系统后仍能查到响应的违规行为；对U盘使用记录和删除的文件也可以检查，使涉密文件违规操作的检查更彻底。</w:t>
            </w:r>
          </w:p>
          <w:p w14:paraId="1DE48417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>4、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保密安全套件。提供USB-key全生命周期管理能力，支持用户与KEY的绑定、解绑、解锁、挂失、密码重置等全流程操作。支持对终端root权限及登录密码进行精细化策略配置，可实现sudo命令的定向禁用管控，内置SSH防绕过机制，强化终端权限边界防护，保障终端系统安全。身份鉴别采用多因子认证架构，支持用户名+指纹、用户名+KEY等多组合认证方式，具备KEY产品类型一键切换能力，提升身份验证的安全性与灵活性。主机审计服务及进程管控支持黑名单精细化配置；主机浏览器审计模式可灵活切换为审计、仅不审计两种模式，阻断模式支持禁止、仅不禁止双向管控，满足多场景差异化管理需求。支持桌面/浏览器水印自定义配置及桌面壁纸个性化设置，水印配置参数可实现全维度自定义，包括水印内容定制、显示版式调整、字体字号选型、显示位置标定、间距调控、水印透明度调节等核心参数。支持外单位红盘细粒度授权与定向放行管控体系，可通过配置单位编码、单位名称等核心标识，实现外单位红盘的精准识别、按需授权、定向放行，保障外接设备接入的合规性与安全性。通过国家保密局检测认证。</w:t>
            </w:r>
          </w:p>
          <w:p w14:paraId="62AC2465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5、提供24小时负载99%耐高温测试及72小时不宕机测试:原厂GPU Burn GPU负载测试:原厂CUDA案例Pytorch和TensorFlow-GPU运算测试；原厂ATA测试。</w:t>
            </w:r>
          </w:p>
          <w:p w14:paraId="37B123D9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>6、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原厂工程师上门进行服务器部署，包含网络配置、远程访问权限设置、深度学习环境搭建；完成 PyCharm、VS Code、MATLAB 等常用 IDE 的安装与配置，而且平台深度学习环境预装 PyTorch 等不少于三种深度学习框架；配置人工智能大数据云平台，采用 WEB UI 登录方式，主要操作均可通过网页按钮完成，功能至少包括资源总览、资源管理、任务管理、存储管理和用户管理等模块；用户管理支持管理员和普通用户角色，便于实现资源分配、权限控制和平台可靠运行，也可为用户提供远程服务；配置 GCC、G++、GFortran 等高性能编译器，以及 OpenMP、OpenMPI、MPICH2 等并行计算环境，并协助甲方搭建商业优化问题求解器例如Gurobi以及Cplex；提供三年2小时上门服务。</w:t>
            </w:r>
          </w:p>
        </w:tc>
        <w:tc>
          <w:tcPr>
            <w:tcW w:w="708" w:type="dxa"/>
          </w:tcPr>
          <w:p w14:paraId="21B8FF1F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9"/>
              </w:rPr>
              <w:t>套</w:t>
            </w:r>
          </w:p>
        </w:tc>
        <w:tc>
          <w:tcPr>
            <w:tcW w:w="567" w:type="dxa"/>
          </w:tcPr>
          <w:p w14:paraId="51200015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ascii="Times New Roman" w:hAnsi="Times New Roman" w:eastAsia="宋体" w:cs="Times New Roman"/>
                <w:sz w:val="19"/>
              </w:rPr>
              <w:t>1</w:t>
            </w:r>
          </w:p>
        </w:tc>
      </w:tr>
      <w:tr w14:paraId="4465E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0" w:type="dxa"/>
            <w:left w:w="40" w:type="dxa"/>
            <w:bottom w:w="40" w:type="dxa"/>
            <w:right w:w="40" w:type="dxa"/>
          </w:tblCellMar>
        </w:tblPrEx>
        <w:tc>
          <w:tcPr>
            <w:tcW w:w="560" w:type="dxa"/>
          </w:tcPr>
          <w:p w14:paraId="23C2BAEE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ascii="Times New Roman" w:hAnsi="Times New Roman" w:eastAsia="宋体" w:cs="Times New Roman"/>
                <w:sz w:val="19"/>
              </w:rPr>
              <w:t>3</w:t>
            </w:r>
          </w:p>
        </w:tc>
        <w:tc>
          <w:tcPr>
            <w:tcW w:w="569" w:type="dxa"/>
          </w:tcPr>
          <w:p w14:paraId="0089FA0E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9"/>
              </w:rPr>
              <w:t>高性能NAS存储服务器</w:t>
            </w:r>
          </w:p>
        </w:tc>
        <w:tc>
          <w:tcPr>
            <w:tcW w:w="12900" w:type="dxa"/>
          </w:tcPr>
          <w:p w14:paraId="30C6CC0B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1、存储模块：CPU为四核心处理器（64 位），内存不低于32GB；盘位不少于8个3.5英寸SATA/SAS硬盘位，并支持不少于2个M.2 NVMe SSD；配置后不少于1个25GbE万兆网口； 支持NFS、SMB/CIFS、rsync；支持RAID6/RAIDZ2/SHR-2或同等级双盘容错方案。</w:t>
            </w:r>
          </w:p>
          <w:p w14:paraId="558E8AAD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>2、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硬盘要求：HDD不少于6块，单盘容量不低于16TB；HDD须为企业级或NAS级CMR硬盘，不接受SMR硬盘；RAID后可用容量不少于40TB；配置不少于2块M.2 NVMe SSD，总容量不低于8TB，优先TLC颗粒；所有HDD/SSD须为全新正品，提供序列号。</w:t>
            </w:r>
          </w:p>
          <w:p w14:paraId="586AF007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3、计算模块：CPU核心数≥24核处理器32线程，基础频率≥3.2GHz，三级缓存≥36MB；支持英特尔LGA1851平台；1个25GbE有线网卡，带WIFI；内存为DDR5 128G；固态硬盘顺序读写≥6000 MB/s，2TB M.2 NVMe；散热器为360一体式水冷；电源为1200W金牌全模组；配置静音机箱。</w:t>
            </w:r>
          </w:p>
          <w:p w14:paraId="19872CF0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>4</w:t>
            </w: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>、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算力模块：配置32G显存计算显卡，CUDA驱动，</w:t>
            </w:r>
            <w:r>
              <w:rPr>
                <w:rFonts w:ascii="Times New Roman" w:hAnsi="Times New Roman" w:eastAsia="宋体" w:cs="Times New Roman"/>
                <w:sz w:val="18"/>
              </w:rPr>
              <w:t>算</w:t>
            </w:r>
            <w:r>
              <w:rPr>
                <w:rFonts w:hint="eastAsia" w:ascii="微软雅黑" w:hAnsi="微软雅黑" w:eastAsia="微软雅黑" w:cs="微软雅黑"/>
                <w:sz w:val="18"/>
              </w:rPr>
              <w:t>⼒</w:t>
            </w:r>
            <w:r>
              <w:rPr>
                <w:rFonts w:hint="eastAsia" w:ascii="宋体" w:hAnsi="宋体" w:eastAsia="宋体" w:cs="宋体"/>
                <w:sz w:val="18"/>
              </w:rPr>
              <w:t>匹配</w:t>
            </w:r>
            <w:r>
              <w:rPr>
                <w:rFonts w:ascii="Times New Roman" w:hAnsi="Times New Roman" w:eastAsia="宋体" w:cs="Times New Roman"/>
                <w:sz w:val="18"/>
              </w:rPr>
              <w:t xml:space="preserve">RTX 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5090。</w:t>
            </w:r>
          </w:p>
          <w:p w14:paraId="3290FE35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5</w:t>
            </w:r>
            <w:r>
              <w:rPr>
                <w:rFonts w:hint="eastAsia" w:ascii="Times New Roman" w:hAnsi="Times New Roman" w:eastAsia="宋体" w:cs="Times New Roman"/>
                <w:color w:val="FF0000"/>
                <w:sz w:val="18"/>
              </w:rPr>
              <w:t>、</w:t>
            </w:r>
            <w:r>
              <w:rPr>
                <w:rFonts w:hint="eastAsia" w:ascii="Times New Roman" w:hAnsi="Times New Roman" w:eastAsia="宋体" w:cs="Times New Roman"/>
                <w:sz w:val="18"/>
              </w:rPr>
              <w:t>功能：原厂工程师负责硬盘安装、RAID/存储池创建、共享目录配置、网络配置、权限配置、客户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sz w:val="18"/>
              </w:rPr>
              <w:t>端挂载测试、告警配置和快照策略配置；万兆网络iperf3测试吞吐不低于8Gbps；主存储池大文件顺序读取不低于2000MB/s；模拟单盘故障后，存储池应保持可访问并触发告警，提供测试报告。</w:t>
            </w:r>
          </w:p>
          <w:p w14:paraId="7377F78D">
            <w:pPr>
              <w:spacing w:after="30" w:line="240" w:lineRule="auto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</w:rPr>
              <w:t>6、服务：整机免费质保不少于3年，提供安装调试、使用培训和售后技术支持。</w:t>
            </w:r>
          </w:p>
        </w:tc>
        <w:tc>
          <w:tcPr>
            <w:tcW w:w="708" w:type="dxa"/>
          </w:tcPr>
          <w:p w14:paraId="5C60C220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hint="eastAsia" w:ascii="Times New Roman" w:hAnsi="Times New Roman" w:eastAsia="宋体" w:cs="Times New Roman"/>
                <w:sz w:val="19"/>
              </w:rPr>
              <w:t>套</w:t>
            </w:r>
          </w:p>
        </w:tc>
        <w:tc>
          <w:tcPr>
            <w:tcW w:w="567" w:type="dxa"/>
          </w:tcPr>
          <w:p w14:paraId="070420AB">
            <w:pPr>
              <w:spacing w:after="0" w:line="240" w:lineRule="auto"/>
              <w:jc w:val="center"/>
              <w:rPr>
                <w:rFonts w:ascii="Times New Roman" w:hAnsi="Times New Roman" w:eastAsia="宋体" w:cs="Times New Roman"/>
                <w:sz w:val="18"/>
              </w:rPr>
            </w:pPr>
            <w:r>
              <w:rPr>
                <w:rFonts w:ascii="Times New Roman" w:hAnsi="Times New Roman" w:eastAsia="宋体" w:cs="Times New Roman"/>
                <w:sz w:val="19"/>
              </w:rPr>
              <w:t>1</w:t>
            </w:r>
          </w:p>
        </w:tc>
      </w:tr>
    </w:tbl>
    <w:p w14:paraId="14E59E5F">
      <w:pPr>
        <w:rPr>
          <w:rFonts w:ascii="Times New Roman" w:hAnsi="Times New Roman" w:eastAsia="宋体" w:cs="Times New Roman"/>
          <w:sz w:val="18"/>
        </w:rPr>
      </w:pPr>
    </w:p>
    <w:sectPr>
      <w:pgSz w:w="16838" w:h="11906" w:orient="landscape"/>
      <w:pgMar w:top="640" w:right="640" w:bottom="640" w:left="6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51"/>
    <w:rsid w:val="00013EF0"/>
    <w:rsid w:val="0006558C"/>
    <w:rsid w:val="000D1BDC"/>
    <w:rsid w:val="000E5417"/>
    <w:rsid w:val="000F7A24"/>
    <w:rsid w:val="001249C9"/>
    <w:rsid w:val="00126FF6"/>
    <w:rsid w:val="00156297"/>
    <w:rsid w:val="00185C54"/>
    <w:rsid w:val="001A6FAE"/>
    <w:rsid w:val="001B423F"/>
    <w:rsid w:val="002714A7"/>
    <w:rsid w:val="002900D8"/>
    <w:rsid w:val="00295BB2"/>
    <w:rsid w:val="002A1ABE"/>
    <w:rsid w:val="003038D7"/>
    <w:rsid w:val="003F1D69"/>
    <w:rsid w:val="00436913"/>
    <w:rsid w:val="00454056"/>
    <w:rsid w:val="0053373F"/>
    <w:rsid w:val="005A59EF"/>
    <w:rsid w:val="00673308"/>
    <w:rsid w:val="00761013"/>
    <w:rsid w:val="00896471"/>
    <w:rsid w:val="008B0301"/>
    <w:rsid w:val="008D31B1"/>
    <w:rsid w:val="009055CE"/>
    <w:rsid w:val="0094610C"/>
    <w:rsid w:val="00990D46"/>
    <w:rsid w:val="00A16967"/>
    <w:rsid w:val="00A5013C"/>
    <w:rsid w:val="00A64F51"/>
    <w:rsid w:val="00AB1CA1"/>
    <w:rsid w:val="00B73F9E"/>
    <w:rsid w:val="00BA52AA"/>
    <w:rsid w:val="00BC0887"/>
    <w:rsid w:val="00CF1EB5"/>
    <w:rsid w:val="00D16A41"/>
    <w:rsid w:val="00D563C0"/>
    <w:rsid w:val="00DE4041"/>
    <w:rsid w:val="00EC19DF"/>
    <w:rsid w:val="00F10267"/>
    <w:rsid w:val="00F35208"/>
    <w:rsid w:val="00F673CF"/>
    <w:rsid w:val="00FA758B"/>
    <w:rsid w:val="00FE04E9"/>
    <w:rsid w:val="7B6B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2205</Words>
  <Characters>2707</Characters>
  <Lines>19</Lines>
  <Paragraphs>5</Paragraphs>
  <TotalTime>19</TotalTime>
  <ScaleCrop>false</ScaleCrop>
  <LinksUpToDate>false</LinksUpToDate>
  <CharactersWithSpaces>2761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2026-08-19T04:43:00Z</dcterms:created>
  <dc:creator>JLuo</dc:creator>
  <cp:lastModifiedBy>张帅磊</cp:lastModifiedBy>
  <dcterms:modified xsi:type="dcterms:W3CDTF">2026-09-01T06:36:32Z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13D7CB4ABD644629B13CF018823CAC83_12</vt:lpwstr>
  </property>
</Properties>
</file>