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70820B">
      <w:pPr>
        <w:tabs>
          <w:tab w:val="left" w:pos="0"/>
        </w:tabs>
        <w:adjustRightInd w:val="0"/>
        <w:snapToGrid w:val="0"/>
        <w:spacing w:before="156" w:beforeLines="50" w:after="156" w:afterLines="50" w:line="560" w:lineRule="exact"/>
        <w:rPr>
          <w:rFonts w:ascii="宋体" w:hAnsi="宋体" w:cs="宋体"/>
          <w:bCs/>
          <w:sz w:val="30"/>
          <w:szCs w:val="30"/>
        </w:rPr>
      </w:pPr>
      <w:r>
        <w:rPr>
          <w:rFonts w:hint="eastAsia" w:ascii="宋体" w:hAnsi="宋体" w:cs="宋体"/>
          <w:bCs/>
          <w:sz w:val="30"/>
          <w:szCs w:val="30"/>
        </w:rPr>
        <w:t>附件3：</w:t>
      </w:r>
    </w:p>
    <w:p w14:paraId="30B33724">
      <w:pPr>
        <w:adjustRightInd w:val="0"/>
        <w:snapToGrid w:val="0"/>
        <w:spacing w:before="156" w:beforeLines="50" w:after="156" w:afterLines="50" w:line="56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拟购分析型流式细胞仪基本情况</w:t>
      </w:r>
    </w:p>
    <w:p w14:paraId="1553351B">
      <w:pPr>
        <w:adjustRightInd w:val="0"/>
        <w:snapToGrid w:val="0"/>
        <w:spacing w:before="156" w:beforeLines="50" w:after="156" w:afterLines="50" w:line="560" w:lineRule="exact"/>
        <w:ind w:firstLine="602" w:firstLineChars="200"/>
        <w:rPr>
          <w:rFonts w:ascii="宋体" w:hAnsi="宋体" w:cs="宋体"/>
          <w:b/>
          <w:bCs/>
          <w:sz w:val="30"/>
          <w:szCs w:val="30"/>
        </w:rPr>
      </w:pPr>
      <w:r>
        <w:rPr>
          <w:rFonts w:hint="eastAsia" w:ascii="宋体" w:hAnsi="宋体" w:cs="宋体"/>
          <w:b/>
          <w:bCs/>
          <w:sz w:val="30"/>
          <w:szCs w:val="30"/>
        </w:rPr>
        <w:t>（一）拟购设备用途、功能</w:t>
      </w:r>
    </w:p>
    <w:p w14:paraId="3D926BC9">
      <w:pPr>
        <w:tabs>
          <w:tab w:val="left" w:pos="0"/>
        </w:tabs>
        <w:adjustRightInd w:val="0"/>
        <w:snapToGrid w:val="0"/>
        <w:spacing w:before="156" w:beforeLines="50" w:after="156" w:afterLines="50"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购置的分析型流式细胞仪能用于蛋白质总量测定、生物活性的测定、细胞周期、DNA含量分析、RNA测量与分析、细胞凋亡、细胞表面标志和细胞内抗原物质分析、细胞受体与免疫细胞功能的分析等方面，具备高速检测多种样本、同时检测至少19种指标、自动上样检测、弱表达指标检测、自动优化增益值、自动补偿、自动校准等功能。</w:t>
      </w:r>
    </w:p>
    <w:p w14:paraId="48A88381">
      <w:pPr>
        <w:tabs>
          <w:tab w:val="left" w:pos="0"/>
        </w:tabs>
        <w:adjustRightInd w:val="0"/>
        <w:snapToGrid w:val="0"/>
        <w:spacing w:before="156" w:beforeLines="50" w:after="156" w:afterLines="50" w:line="560" w:lineRule="exact"/>
        <w:ind w:firstLine="602" w:firstLineChars="200"/>
        <w:rPr>
          <w:rFonts w:hint="eastAsia" w:ascii="宋体" w:hAnsi="宋体" w:cs="宋体"/>
          <w:b/>
          <w:sz w:val="30"/>
          <w:szCs w:val="30"/>
        </w:rPr>
      </w:pPr>
      <w:r>
        <w:rPr>
          <w:rFonts w:hint="eastAsia" w:ascii="宋体" w:hAnsi="宋体" w:cs="宋体"/>
          <w:b/>
          <w:sz w:val="30"/>
          <w:szCs w:val="30"/>
        </w:rPr>
        <w:t>（二）拟设技术参数</w:t>
      </w:r>
    </w:p>
    <w:p w14:paraId="263CC943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1.光学系统</w:t>
      </w:r>
    </w:p>
    <w:p w14:paraId="2EE0DC4F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1.1激光配置:配置≥5根全固态激光器，必配激光波长： 375±5nm、405±5nm、488±5nm、638±5nm、561±5nm，≥19个独立荧光检测器；可同时检测≥21个光学参数（含1个FS参数，1个SS参数，≥19个荧光参数），且所有荧光通道检测波长都为带通；</w:t>
      </w:r>
    </w:p>
    <w:p w14:paraId="137C81D7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1.2后期可升级水平（提供厂商官方彩页或网页截图）：可升级光谱模块，光学检测通道：≥80个，同时具备传统补偿计算能力和光谱补偿计算能力；</w:t>
      </w:r>
    </w:p>
    <w:p w14:paraId="2E5F869F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1.3具有激光智能监控系统：具有激光温度控制功能，确保仪器稳定性和检测结果可靠性不受环境影响；能自动监测并调节激光功率；</w:t>
      </w:r>
    </w:p>
    <w:p w14:paraId="22722EF1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1.4每个荧光检测通道可选配特定波长滤光片系统；</w:t>
      </w:r>
    </w:p>
    <w:p w14:paraId="63590771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1.5固定校准的光路设计，滤光片可以灵活插拔，不影响光路；</w:t>
      </w:r>
    </w:p>
    <w:p w14:paraId="4A8BF66E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1.6光信号收集系统：镜头NA≥1.3。</w:t>
      </w:r>
    </w:p>
    <w:p w14:paraId="6C7E777C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2.电子和检测系统：</w:t>
      </w:r>
    </w:p>
    <w:p w14:paraId="4BE61A66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2.1.动态范围：0-10</w:t>
      </w:r>
      <w:r>
        <w:rPr>
          <w:rFonts w:hint="eastAsia" w:ascii="宋体" w:hAnsi="宋体" w:cs="宋体"/>
          <w:sz w:val="30"/>
          <w:szCs w:val="30"/>
          <w:vertAlign w:val="superscript"/>
        </w:rPr>
        <w:t>7</w:t>
      </w:r>
      <w:r>
        <w:rPr>
          <w:rFonts w:hint="eastAsia" w:ascii="宋体" w:hAnsi="宋体" w:cs="宋体"/>
          <w:sz w:val="30"/>
          <w:szCs w:val="30"/>
        </w:rPr>
        <w:t>；</w:t>
      </w:r>
    </w:p>
    <w:p w14:paraId="66812D5C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2.2.数字化采样频率≥25MHz；</w:t>
      </w:r>
    </w:p>
    <w:p w14:paraId="456C51DF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2.3.检测速度≥30,000 events /s；</w:t>
      </w:r>
    </w:p>
    <w:p w14:paraId="128116A4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2.4. CV &lt;3%；</w:t>
      </w:r>
    </w:p>
    <w:p w14:paraId="5C2C8223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2.5采用光纤二极管APD类高灵敏度检测器，能更好提高信号分辨率及获得更准确的数据；</w:t>
      </w:r>
    </w:p>
    <w:p w14:paraId="7CE22EFA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color w:val="000000"/>
          <w:sz w:val="30"/>
          <w:szCs w:val="30"/>
        </w:rPr>
        <w:t xml:space="preserve">2.6 </w:t>
      </w:r>
      <w:r>
        <w:rPr>
          <w:rFonts w:hint="eastAsia" w:ascii="宋体" w:hAnsi="宋体" w:cs="宋体"/>
          <w:sz w:val="30"/>
          <w:szCs w:val="30"/>
        </w:rPr>
        <w:t>FITC灵敏度≤ 30MESF，PE灵敏度≤ 10MESF（</w:t>
      </w:r>
      <w:bookmarkStart w:id="0" w:name="_Hlk191457229"/>
      <w:r>
        <w:rPr>
          <w:rFonts w:hint="eastAsia" w:ascii="宋体" w:hAnsi="宋体" w:cs="宋体"/>
          <w:sz w:val="30"/>
          <w:szCs w:val="30"/>
        </w:rPr>
        <w:t>提供厂商官方彩页或网页截图</w:t>
      </w:r>
      <w:bookmarkEnd w:id="0"/>
      <w:r>
        <w:rPr>
          <w:rFonts w:hint="eastAsia" w:ascii="宋体" w:hAnsi="宋体" w:cs="宋体"/>
          <w:sz w:val="30"/>
          <w:szCs w:val="30"/>
        </w:rPr>
        <w:t>），灵敏度越高，越有利于弱表达指标的检测；</w:t>
      </w:r>
    </w:p>
    <w:p w14:paraId="23910313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2.7侧向角分辨力：＜80nm，满足外泌体、细菌或类似微颗粒分析使用，拓展小颗粒应用，要求提供实验检测图（要求检测颗粒和背景分开）。</w:t>
      </w:r>
    </w:p>
    <w:p w14:paraId="6E3B2AD8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3．液流和上样系统</w:t>
      </w:r>
    </w:p>
    <w:p w14:paraId="4C93DECC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3.1采用经典稳定的鞘液流聚焦原理；</w:t>
      </w:r>
    </w:p>
    <w:p w14:paraId="2A693504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3.2检测过程中，具有自动反冲洗去除堵塞功能；</w:t>
      </w:r>
    </w:p>
    <w:p w14:paraId="296326F0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3.3流速：10μL/min到240μL</w:t>
      </w:r>
      <w:bookmarkStart w:id="1" w:name="_Hlk191457725"/>
      <w:r>
        <w:rPr>
          <w:rFonts w:hint="eastAsia" w:ascii="宋体" w:hAnsi="宋体" w:cs="宋体"/>
          <w:sz w:val="30"/>
          <w:szCs w:val="30"/>
        </w:rPr>
        <w:t>/min</w:t>
      </w:r>
      <w:bookmarkEnd w:id="1"/>
      <w:r>
        <w:rPr>
          <w:rFonts w:hint="eastAsia" w:ascii="宋体" w:hAnsi="宋体" w:cs="宋体"/>
          <w:sz w:val="30"/>
          <w:szCs w:val="30"/>
        </w:rPr>
        <w:t>连续可调，调节精度1</w:t>
      </w:r>
      <w:bookmarkStart w:id="2" w:name="_Hlk191457668"/>
      <w:r>
        <w:rPr>
          <w:rFonts w:hint="eastAsia" w:ascii="宋体" w:hAnsi="宋体" w:cs="宋体"/>
          <w:sz w:val="30"/>
          <w:szCs w:val="30"/>
        </w:rPr>
        <w:t>μL</w:t>
      </w:r>
      <w:bookmarkEnd w:id="2"/>
      <w:r>
        <w:rPr>
          <w:rFonts w:hint="eastAsia" w:ascii="宋体" w:hAnsi="宋体" w:cs="宋体"/>
          <w:sz w:val="30"/>
          <w:szCs w:val="30"/>
        </w:rPr>
        <w:t>/min；</w:t>
      </w:r>
    </w:p>
    <w:p w14:paraId="7D708EB3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3.4上样系统：兼容多种上样管（5ml流式管、1.5ml或2ml EP管）和96孔板上样，具有自动混匀和自动清洗功能，降低样本间交叉污染；</w:t>
      </w:r>
    </w:p>
    <w:p w14:paraId="72DB8163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3.5自动上样装置：具备自动上样装置，自动上样和单管上样一键切换，适配多种96孔板自动上样；</w:t>
      </w:r>
    </w:p>
    <w:p w14:paraId="45C60428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3.6采用无脉冲蠕动泵上样，非注射泵和正压上样，能进行连续上样，节省样本；</w:t>
      </w:r>
    </w:p>
    <w:p w14:paraId="7CE95832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3.7具备无需微球的绝对计数功能，在检测同时即可自动计算样本浓度，结果准确；</w:t>
      </w:r>
    </w:p>
    <w:p w14:paraId="3EFB6DDA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3.8单管上样模式，最小上样体积≤10μL；</w:t>
      </w:r>
    </w:p>
    <w:p w14:paraId="73B0D35B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3.9具有鞘液和废液传感器，自动感应鞘液压力和废液桶液面高度，自动报警。</w:t>
      </w:r>
    </w:p>
    <w:p w14:paraId="11DC9131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4.软件系统</w:t>
      </w:r>
    </w:p>
    <w:p w14:paraId="1317653A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4.1可选择切换中、英文界面；</w:t>
      </w:r>
    </w:p>
    <w:p w14:paraId="3EB733F2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4.2实时的电压调节, 具备图形上直接拖动调节电压功能，无需输入数字，直观方便；</w:t>
      </w:r>
    </w:p>
    <w:p w14:paraId="7E08E45E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4.3具备自动补偿设置：全矩阵荧光补偿，自动补偿调整，图形上直接拖动调节补偿，直观方便；</w:t>
      </w:r>
    </w:p>
    <w:p w14:paraId="10B019F2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4.4具备再次调节电压/增益后，补偿自动调整功能，无需人工再干预（提供软件截图证明）；</w:t>
      </w:r>
    </w:p>
    <w:p w14:paraId="1CEBE4B8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4.5具备符合21CFR part11 的审计追踪功能。</w:t>
      </w:r>
    </w:p>
    <w:p w14:paraId="0A2B0FBB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4.6专业工作站：Inter i7，最高CPU≥3.9 GHz，内存≥8GB，高性能显卡，显存≥4GB，高清显示屏(1个)≥24英寸，显示屏分辨率≥1920 x 1080，硬盘≥1TB，DVD+/- RW刻录，Windows 10 professional(64 位)以上版本操作系统。</w:t>
      </w:r>
    </w:p>
    <w:p w14:paraId="6AE27B6E"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C0497C"/>
    <w:rsid w:val="49C0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2025-03-11T07:53:00Z</dcterms:created>
  <dc:creator>hubin</dc:creator>
  <cp:lastModifiedBy>hubin</cp:lastModifiedBy>
  <dcterms:modified xsi:type="dcterms:W3CDTF">2025-03-11T07:53:51Z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57027B267B144DCBBD3CA7CCB35A7C6D_11</vt:lpwstr>
  </property>
  <property fmtid="{D5CDD505-2E9C-101B-9397-08002B2CF9AE}" pid="4" name="KSOTemplateDocerSaveRecord">
    <vt:lpwstr>eyJoZGlkIjoiMGRiNTVmMzcxMzdhMDg5OTU0YWQ2MDdhNzZjZmY1NDEifQ==</vt:lpwstr>
  </property>
</Properties>
</file>