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270860">
      <w:pPr>
        <w:rPr>
          <w:rFonts w:hint="eastAsia"/>
        </w:rPr>
      </w:pPr>
      <w:r>
        <w:rPr>
          <w:rFonts w:hint="eastAsia"/>
        </w:rPr>
        <w:t>高精型化学气相沉积参数：</w:t>
      </w:r>
    </w:p>
    <w:p w14:paraId="3D570FF4">
      <w:pPr>
        <w:rPr>
          <w:rFonts w:hint="eastAsia"/>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1559"/>
        <w:gridCol w:w="5749"/>
      </w:tblGrid>
      <w:tr w14:paraId="596A0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0E3B5B0E">
            <w:pPr>
              <w:rPr>
                <w:rFonts w:hint="eastAsia"/>
              </w:rPr>
            </w:pPr>
            <w:r>
              <w:rPr>
                <w:rFonts w:hint="eastAsia"/>
              </w:rPr>
              <w:t>序号</w:t>
            </w:r>
          </w:p>
        </w:tc>
        <w:tc>
          <w:tcPr>
            <w:tcW w:w="1559" w:type="dxa"/>
            <w:vAlign w:val="center"/>
          </w:tcPr>
          <w:p w14:paraId="3FBE67F7">
            <w:pPr>
              <w:rPr>
                <w:rFonts w:hint="eastAsia"/>
              </w:rPr>
            </w:pPr>
            <w:r>
              <w:rPr>
                <w:rFonts w:hint="eastAsia"/>
              </w:rPr>
              <w:t>配置</w:t>
            </w:r>
          </w:p>
        </w:tc>
        <w:tc>
          <w:tcPr>
            <w:tcW w:w="5749" w:type="dxa"/>
            <w:vAlign w:val="center"/>
          </w:tcPr>
          <w:p w14:paraId="06A740B5">
            <w:pPr>
              <w:rPr>
                <w:rFonts w:hint="eastAsia"/>
              </w:rPr>
            </w:pPr>
            <w:r>
              <w:rPr>
                <w:rFonts w:hint="eastAsia"/>
              </w:rPr>
              <w:t>技术参数</w:t>
            </w:r>
          </w:p>
        </w:tc>
      </w:tr>
      <w:tr w14:paraId="67D7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0B212BF0">
            <w:pPr>
              <w:pStyle w:val="8"/>
              <w:numPr>
                <w:ilvl w:val="0"/>
                <w:numId w:val="1"/>
              </w:numPr>
              <w:ind w:firstLineChars="0"/>
              <w:rPr>
                <w:rFonts w:hint="eastAsia"/>
              </w:rPr>
            </w:pPr>
          </w:p>
        </w:tc>
        <w:tc>
          <w:tcPr>
            <w:tcW w:w="1559" w:type="dxa"/>
            <w:vMerge w:val="restart"/>
            <w:vAlign w:val="center"/>
          </w:tcPr>
          <w:p w14:paraId="129F4997">
            <w:pPr>
              <w:rPr>
                <w:rFonts w:hint="eastAsia"/>
              </w:rPr>
            </w:pPr>
            <w:r>
              <w:rPr>
                <w:rFonts w:hint="eastAsia"/>
              </w:rPr>
              <w:t>高精型化学气相沉积</w:t>
            </w:r>
          </w:p>
        </w:tc>
        <w:tc>
          <w:tcPr>
            <w:tcW w:w="5749" w:type="dxa"/>
            <w:vAlign w:val="center"/>
          </w:tcPr>
          <w:p w14:paraId="03D6F090">
            <w:pPr>
              <w:autoSpaceDE w:val="0"/>
              <w:autoSpaceDN w:val="0"/>
              <w:adjustRightInd w:val="0"/>
              <w:jc w:val="left"/>
              <w:rPr>
                <w:rFonts w:ascii="Times New Roman" w:hAnsi="Times New Roman" w:cs="Times New Roman"/>
              </w:rPr>
            </w:pPr>
            <w:r>
              <w:rPr>
                <w:rFonts w:ascii="Times New Roman" w:hAnsi="Times New Roman" w:cs="Times New Roman"/>
              </w:rPr>
              <w:t>氧化铝薄膜沉积最小成膜厚度不大于2nm，50nm厚氧化铝沉积工艺时间不超过</w:t>
            </w:r>
            <w:r>
              <w:rPr>
                <w:rFonts w:hint="eastAsia" w:ascii="Times New Roman" w:hAnsi="Times New Roman" w:cs="Times New Roman"/>
              </w:rPr>
              <w:t>5</w:t>
            </w:r>
            <w:r>
              <w:rPr>
                <w:rFonts w:ascii="Times New Roman" w:hAnsi="Times New Roman" w:cs="Times New Roman"/>
              </w:rPr>
              <w:t>0分钟。</w:t>
            </w:r>
          </w:p>
        </w:tc>
      </w:tr>
      <w:tr w14:paraId="3060F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0776DF43">
            <w:pPr>
              <w:pStyle w:val="8"/>
              <w:numPr>
                <w:ilvl w:val="0"/>
                <w:numId w:val="1"/>
              </w:numPr>
              <w:ind w:firstLineChars="0"/>
              <w:rPr>
                <w:rFonts w:hint="eastAsia"/>
              </w:rPr>
            </w:pPr>
          </w:p>
        </w:tc>
        <w:tc>
          <w:tcPr>
            <w:tcW w:w="1559" w:type="dxa"/>
            <w:vMerge w:val="continue"/>
            <w:vAlign w:val="center"/>
          </w:tcPr>
          <w:p w14:paraId="53CCE2FC">
            <w:pPr>
              <w:rPr>
                <w:rFonts w:hint="eastAsia"/>
              </w:rPr>
            </w:pPr>
          </w:p>
        </w:tc>
        <w:tc>
          <w:tcPr>
            <w:tcW w:w="5749" w:type="dxa"/>
            <w:vAlign w:val="center"/>
          </w:tcPr>
          <w:p w14:paraId="762CD129">
            <w:pPr>
              <w:rPr>
                <w:rFonts w:ascii="Times New Roman" w:hAnsi="Times New Roman" w:cs="Times New Roman"/>
              </w:rPr>
            </w:pPr>
            <w:r>
              <w:rPr>
                <w:rFonts w:ascii="Times New Roman" w:hAnsi="Times New Roman" w:cs="Times New Roman"/>
              </w:rPr>
              <w:t>能够在不小于6英寸硅片基底实现氧化铝薄膜的均匀沉积， 薄膜不均匀性≤2.0 %，镀膜厚度重复性偏差≤3.0 %。</w:t>
            </w:r>
          </w:p>
        </w:tc>
      </w:tr>
      <w:tr w14:paraId="432D1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521EA77A">
            <w:pPr>
              <w:pStyle w:val="8"/>
              <w:numPr>
                <w:ilvl w:val="0"/>
                <w:numId w:val="1"/>
              </w:numPr>
              <w:ind w:firstLineChars="0"/>
              <w:rPr>
                <w:rFonts w:hint="eastAsia"/>
              </w:rPr>
            </w:pPr>
          </w:p>
        </w:tc>
        <w:tc>
          <w:tcPr>
            <w:tcW w:w="1559" w:type="dxa"/>
            <w:vMerge w:val="continue"/>
            <w:vAlign w:val="center"/>
          </w:tcPr>
          <w:p w14:paraId="12CFEB25">
            <w:pPr>
              <w:rPr>
                <w:rFonts w:hint="eastAsia"/>
              </w:rPr>
            </w:pPr>
          </w:p>
        </w:tc>
        <w:tc>
          <w:tcPr>
            <w:tcW w:w="5749" w:type="dxa"/>
            <w:vAlign w:val="center"/>
          </w:tcPr>
          <w:p w14:paraId="4D7CAE07">
            <w:pPr>
              <w:rPr>
                <w:rFonts w:ascii="Times New Roman" w:hAnsi="Times New Roman" w:cs="Times New Roman"/>
              </w:rPr>
            </w:pPr>
            <w:r>
              <w:rPr>
                <w:rFonts w:ascii="Times New Roman" w:hAnsi="Times New Roman" w:cs="Times New Roman"/>
              </w:rPr>
              <w:t>能够在不小于6英寸硅片基底实现氧化铪薄膜的均匀沉积，薄膜不均匀性≤2.0 %，镀膜厚度重复性偏差≤3.0 %。</w:t>
            </w:r>
          </w:p>
        </w:tc>
      </w:tr>
      <w:tr w14:paraId="528FA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4A00E199">
            <w:pPr>
              <w:pStyle w:val="8"/>
              <w:numPr>
                <w:ilvl w:val="0"/>
                <w:numId w:val="1"/>
              </w:numPr>
              <w:ind w:firstLineChars="0"/>
              <w:rPr>
                <w:rFonts w:hint="eastAsia"/>
              </w:rPr>
            </w:pPr>
          </w:p>
        </w:tc>
        <w:tc>
          <w:tcPr>
            <w:tcW w:w="1559" w:type="dxa"/>
            <w:vMerge w:val="continue"/>
            <w:vAlign w:val="center"/>
          </w:tcPr>
          <w:p w14:paraId="33BAF7E1">
            <w:pPr>
              <w:rPr>
                <w:rFonts w:hint="eastAsia"/>
              </w:rPr>
            </w:pPr>
          </w:p>
        </w:tc>
        <w:tc>
          <w:tcPr>
            <w:tcW w:w="5749" w:type="dxa"/>
            <w:vAlign w:val="center"/>
          </w:tcPr>
          <w:p w14:paraId="26C444C9">
            <w:pPr>
              <w:rPr>
                <w:rFonts w:ascii="Times New Roman" w:hAnsi="Times New Roman" w:cs="Times New Roman"/>
              </w:rPr>
            </w:pPr>
            <w:r>
              <w:rPr>
                <w:rFonts w:ascii="Times New Roman" w:hAnsi="Times New Roman" w:cs="Times New Roman"/>
              </w:rPr>
              <w:t>基片加热温度范围不低于从室温至400℃，控温精度≤±1℃。</w:t>
            </w:r>
          </w:p>
        </w:tc>
      </w:tr>
      <w:tr w14:paraId="4C8EE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68B2DB0A">
            <w:pPr>
              <w:pStyle w:val="8"/>
              <w:numPr>
                <w:ilvl w:val="0"/>
                <w:numId w:val="1"/>
              </w:numPr>
              <w:ind w:firstLineChars="0"/>
              <w:rPr>
                <w:rFonts w:hint="eastAsia"/>
              </w:rPr>
            </w:pPr>
          </w:p>
        </w:tc>
        <w:tc>
          <w:tcPr>
            <w:tcW w:w="1559" w:type="dxa"/>
            <w:vMerge w:val="continue"/>
            <w:vAlign w:val="center"/>
          </w:tcPr>
          <w:p w14:paraId="6C4EEC72">
            <w:pPr>
              <w:rPr>
                <w:rFonts w:hint="eastAsia"/>
              </w:rPr>
            </w:pPr>
          </w:p>
        </w:tc>
        <w:tc>
          <w:tcPr>
            <w:tcW w:w="5749" w:type="dxa"/>
            <w:vAlign w:val="center"/>
          </w:tcPr>
          <w:p w14:paraId="2AD1C568">
            <w:pPr>
              <w:rPr>
                <w:rFonts w:ascii="Times New Roman" w:hAnsi="Times New Roman" w:cs="Times New Roman"/>
              </w:rPr>
            </w:pPr>
            <w:r>
              <w:rPr>
                <w:rFonts w:ascii="Times New Roman" w:hAnsi="Times New Roman" w:cs="Times New Roman"/>
              </w:rPr>
              <w:t>反应腔要求为防腐蚀材质制作，防腐蚀材质不弱于316L不锈钢。反应腔可容纳样品最大样品尺寸：圆形基底直径不小于200mm，方形基底边长不小于182mm</w:t>
            </w:r>
            <w:r>
              <w:rPr>
                <w:rFonts w:hint="eastAsia" w:ascii="Times New Roman" w:hAnsi="Times New Roman" w:cs="Times New Roman"/>
              </w:rPr>
              <w:t>。</w:t>
            </w:r>
          </w:p>
        </w:tc>
      </w:tr>
      <w:tr w14:paraId="1B4DE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388DDA43">
            <w:pPr>
              <w:pStyle w:val="8"/>
              <w:numPr>
                <w:ilvl w:val="0"/>
                <w:numId w:val="1"/>
              </w:numPr>
              <w:ind w:firstLineChars="0"/>
              <w:rPr>
                <w:rFonts w:hint="eastAsia"/>
              </w:rPr>
            </w:pPr>
          </w:p>
        </w:tc>
        <w:tc>
          <w:tcPr>
            <w:tcW w:w="1559" w:type="dxa"/>
            <w:vMerge w:val="continue"/>
            <w:vAlign w:val="center"/>
          </w:tcPr>
          <w:p w14:paraId="20605BC1">
            <w:pPr>
              <w:rPr>
                <w:rFonts w:hint="eastAsia"/>
              </w:rPr>
            </w:pPr>
          </w:p>
        </w:tc>
        <w:tc>
          <w:tcPr>
            <w:tcW w:w="5749" w:type="dxa"/>
            <w:vAlign w:val="center"/>
          </w:tcPr>
          <w:p w14:paraId="2BACB2A3">
            <w:pPr>
              <w:rPr>
                <w:rFonts w:ascii="Times New Roman" w:hAnsi="Times New Roman" w:cs="Times New Roman"/>
              </w:rPr>
            </w:pPr>
            <w:r>
              <w:rPr>
                <w:rFonts w:ascii="Times New Roman" w:hAnsi="Times New Roman" w:cs="Times New Roman"/>
              </w:rPr>
              <w:t>前驱体输运装置：具备汇集不少于8路完全独立的前驱体管路的能力，当前配备不少6条独立前驱体管路，包含3条可加热管路，管道可加热温度范围不小于室温至200 °C，控制精度≤±1℃；高速脉冲隔膜阀响应时间≤10 ms。</w:t>
            </w:r>
          </w:p>
        </w:tc>
      </w:tr>
      <w:tr w14:paraId="6EDB0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21212248">
            <w:pPr>
              <w:rPr>
                <w:rFonts w:hint="eastAsia"/>
              </w:rPr>
            </w:pPr>
            <w:r>
              <w:rPr>
                <w:rFonts w:hint="eastAsia"/>
              </w:rPr>
              <w:t>7</w:t>
            </w:r>
            <w:r>
              <w:t>.</w:t>
            </w:r>
            <w:r>
              <w:rPr>
                <w:rFonts w:hint="eastAsia"/>
              </w:rPr>
              <w:t xml:space="preserve">   </w:t>
            </w:r>
          </w:p>
        </w:tc>
        <w:tc>
          <w:tcPr>
            <w:tcW w:w="1559" w:type="dxa"/>
            <w:vMerge w:val="continue"/>
            <w:vAlign w:val="center"/>
          </w:tcPr>
          <w:p w14:paraId="15D27288">
            <w:pPr>
              <w:rPr>
                <w:rFonts w:hint="eastAsia"/>
              </w:rPr>
            </w:pPr>
          </w:p>
        </w:tc>
        <w:tc>
          <w:tcPr>
            <w:tcW w:w="5749" w:type="dxa"/>
            <w:vAlign w:val="center"/>
          </w:tcPr>
          <w:p w14:paraId="45808780">
            <w:pPr>
              <w:autoSpaceDE w:val="0"/>
              <w:autoSpaceDN w:val="0"/>
              <w:adjustRightInd w:val="0"/>
              <w:jc w:val="left"/>
              <w:rPr>
                <w:rFonts w:ascii="Times New Roman" w:hAnsi="Times New Roman" w:cs="Times New Roman"/>
              </w:rPr>
            </w:pPr>
            <w:r>
              <w:rPr>
                <w:rFonts w:ascii="Times New Roman" w:hAnsi="Times New Roman" w:cs="Times New Roman"/>
              </w:rPr>
              <w:t>提供粉体材料镀膜内腔一套，能够实现粉体材料的镀膜且能避免腔室交叉污染。</w:t>
            </w:r>
          </w:p>
        </w:tc>
      </w:tr>
      <w:tr w14:paraId="4C232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2ECEE354">
            <w:pPr>
              <w:rPr>
                <w:rFonts w:hint="eastAsia"/>
              </w:rPr>
            </w:pPr>
            <w:r>
              <w:rPr>
                <w:rFonts w:hint="eastAsia"/>
              </w:rPr>
              <w:t>8</w:t>
            </w:r>
          </w:p>
        </w:tc>
        <w:tc>
          <w:tcPr>
            <w:tcW w:w="1559" w:type="dxa"/>
            <w:vMerge w:val="continue"/>
            <w:vAlign w:val="center"/>
          </w:tcPr>
          <w:p w14:paraId="51F3CA82">
            <w:pPr>
              <w:rPr>
                <w:rFonts w:hint="eastAsia"/>
              </w:rPr>
            </w:pPr>
          </w:p>
        </w:tc>
        <w:tc>
          <w:tcPr>
            <w:tcW w:w="5749" w:type="dxa"/>
            <w:vAlign w:val="center"/>
          </w:tcPr>
          <w:p w14:paraId="10ACB186">
            <w:pPr>
              <w:autoSpaceDE w:val="0"/>
              <w:autoSpaceDN w:val="0"/>
              <w:adjustRightInd w:val="0"/>
              <w:jc w:val="left"/>
              <w:rPr>
                <w:rFonts w:ascii="Times New Roman" w:hAnsi="Times New Roman" w:cs="Times New Roman"/>
              </w:rPr>
            </w:pPr>
            <w:r>
              <w:rPr>
                <w:rFonts w:ascii="Times New Roman" w:hAnsi="Times New Roman" w:cs="Times New Roman"/>
              </w:rPr>
              <w:t>提供干式真空泵1台，抽速不小于30m</w:t>
            </w:r>
            <w:r>
              <w:rPr>
                <w:rFonts w:ascii="Times New Roman" w:hAnsi="Times New Roman" w:cs="Times New Roman"/>
                <w:vertAlign w:val="superscript"/>
              </w:rPr>
              <w:t>3</w:t>
            </w:r>
            <w:r>
              <w:rPr>
                <w:rFonts w:ascii="Times New Roman" w:hAnsi="Times New Roman" w:cs="Times New Roman"/>
              </w:rPr>
              <w:t>/h，极限真空≤1Pa；提供高比表面积金属热吸附阱与分子筛冷吸附阱双重保护真空获得系统。</w:t>
            </w:r>
          </w:p>
        </w:tc>
      </w:tr>
      <w:tr w14:paraId="5AF0E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60E87E8D">
            <w:pPr>
              <w:rPr>
                <w:rFonts w:hint="eastAsia"/>
              </w:rPr>
            </w:pPr>
            <w:r>
              <w:rPr>
                <w:rFonts w:hint="eastAsia"/>
              </w:rPr>
              <w:t>9</w:t>
            </w:r>
          </w:p>
        </w:tc>
        <w:tc>
          <w:tcPr>
            <w:tcW w:w="1559" w:type="dxa"/>
            <w:vMerge w:val="continue"/>
            <w:vAlign w:val="center"/>
          </w:tcPr>
          <w:p w14:paraId="524BCEFF">
            <w:pPr>
              <w:rPr>
                <w:rFonts w:hint="eastAsia"/>
              </w:rPr>
            </w:pPr>
          </w:p>
        </w:tc>
        <w:tc>
          <w:tcPr>
            <w:tcW w:w="5749" w:type="dxa"/>
            <w:vAlign w:val="center"/>
          </w:tcPr>
          <w:p w14:paraId="4150FC6E">
            <w:pPr>
              <w:autoSpaceDE w:val="0"/>
              <w:autoSpaceDN w:val="0"/>
              <w:adjustRightInd w:val="0"/>
              <w:jc w:val="left"/>
              <w:rPr>
                <w:rFonts w:ascii="Times New Roman" w:hAnsi="Times New Roman" w:cs="Times New Roman"/>
              </w:rPr>
            </w:pPr>
            <w:r>
              <w:rPr>
                <w:rFonts w:ascii="Times New Roman" w:hAnsi="Times New Roman" w:cs="Times New Roman"/>
              </w:rPr>
              <w:t>腔室配备高精度压力传感器，压力检测范围不小于1000至5*10</w:t>
            </w:r>
            <w:r>
              <w:rPr>
                <w:rFonts w:ascii="Times New Roman" w:hAnsi="Times New Roman" w:cs="Times New Roman"/>
                <w:vertAlign w:val="superscript"/>
              </w:rPr>
              <w:t>-4</w:t>
            </w:r>
            <w:r>
              <w:rPr>
                <w:rFonts w:ascii="Times New Roman" w:hAnsi="Times New Roman" w:cs="Times New Roman"/>
              </w:rPr>
              <w:t xml:space="preserve"> Torr。</w:t>
            </w:r>
          </w:p>
        </w:tc>
      </w:tr>
      <w:tr w14:paraId="2D2CB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31C77219">
            <w:pPr>
              <w:rPr>
                <w:rFonts w:hint="eastAsia"/>
              </w:rPr>
            </w:pPr>
            <w:r>
              <w:rPr>
                <w:rFonts w:hint="eastAsia"/>
              </w:rPr>
              <w:t>10</w:t>
            </w:r>
          </w:p>
        </w:tc>
        <w:tc>
          <w:tcPr>
            <w:tcW w:w="1559" w:type="dxa"/>
            <w:vMerge w:val="continue"/>
            <w:vAlign w:val="center"/>
          </w:tcPr>
          <w:p w14:paraId="4B71064B">
            <w:pPr>
              <w:rPr>
                <w:rFonts w:hint="eastAsia"/>
              </w:rPr>
            </w:pPr>
          </w:p>
        </w:tc>
        <w:tc>
          <w:tcPr>
            <w:tcW w:w="5749" w:type="dxa"/>
            <w:vAlign w:val="center"/>
          </w:tcPr>
          <w:p w14:paraId="4A0B4396">
            <w:pPr>
              <w:rPr>
                <w:rFonts w:ascii="Times New Roman" w:hAnsi="Times New Roman" w:cs="Times New Roman"/>
              </w:rPr>
            </w:pPr>
            <w:r>
              <w:rPr>
                <w:rFonts w:ascii="Times New Roman" w:hAnsi="Times New Roman" w:cs="Times New Roman"/>
              </w:rPr>
              <w:t>利用1路N</w:t>
            </w:r>
            <w:r>
              <w:rPr>
                <w:rFonts w:ascii="Times New Roman" w:hAnsi="Times New Roman" w:cs="Times New Roman"/>
                <w:vertAlign w:val="subscript"/>
              </w:rPr>
              <w:t>2</w:t>
            </w:r>
            <w:r>
              <w:rPr>
                <w:rFonts w:ascii="Times New Roman" w:hAnsi="Times New Roman" w:cs="Times New Roman"/>
              </w:rPr>
              <w:t>气作为载气，载气管线含有高精度气体质量流量控制器（MFC），流量控制范围不小于10~500 sccm。</w:t>
            </w:r>
          </w:p>
        </w:tc>
      </w:tr>
      <w:tr w14:paraId="6DB99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31496382">
            <w:pPr>
              <w:rPr>
                <w:rFonts w:hint="eastAsia"/>
              </w:rPr>
            </w:pPr>
            <w:r>
              <w:rPr>
                <w:rFonts w:hint="eastAsia"/>
              </w:rPr>
              <w:t>11</w:t>
            </w:r>
            <w:r>
              <w:t xml:space="preserve"> </w:t>
            </w:r>
          </w:p>
        </w:tc>
        <w:tc>
          <w:tcPr>
            <w:tcW w:w="1559" w:type="dxa"/>
            <w:vMerge w:val="continue"/>
            <w:vAlign w:val="center"/>
          </w:tcPr>
          <w:p w14:paraId="677B4552">
            <w:pPr>
              <w:rPr>
                <w:rFonts w:hint="eastAsia"/>
              </w:rPr>
            </w:pPr>
          </w:p>
        </w:tc>
        <w:tc>
          <w:tcPr>
            <w:tcW w:w="5749" w:type="dxa"/>
            <w:vAlign w:val="center"/>
          </w:tcPr>
          <w:p w14:paraId="7F1F457C">
            <w:pPr>
              <w:rPr>
                <w:rFonts w:ascii="Times New Roman" w:hAnsi="Times New Roman" w:cs="Times New Roman"/>
              </w:rPr>
            </w:pPr>
            <w:r>
              <w:rPr>
                <w:rFonts w:ascii="Times New Roman" w:hAnsi="Times New Roman" w:cs="Times New Roman"/>
              </w:rPr>
              <w:t>提供水冷电子级臭氧发生器1套。臭氧浓度可调范围不小于0-300mg/L；臭氧气体输出量可调范围不小于1-2L/min。含臭氧尾气处理，臭氧毁灭器效率不小于 30g/h。</w:t>
            </w:r>
            <w:r>
              <w:rPr>
                <w:rFonts w:ascii="Times New Roman" w:hAnsi="Times New Roman" w:cs="Times New Roman"/>
              </w:rPr>
              <w:tab/>
            </w:r>
          </w:p>
        </w:tc>
      </w:tr>
      <w:tr w14:paraId="1B9B9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6C425836">
            <w:pPr>
              <w:rPr>
                <w:rFonts w:hint="eastAsia"/>
              </w:rPr>
            </w:pPr>
            <w:r>
              <w:rPr>
                <w:rFonts w:hint="eastAsia"/>
              </w:rPr>
              <w:t>12</w:t>
            </w:r>
          </w:p>
        </w:tc>
        <w:tc>
          <w:tcPr>
            <w:tcW w:w="1559" w:type="dxa"/>
            <w:vMerge w:val="continue"/>
            <w:vAlign w:val="center"/>
          </w:tcPr>
          <w:p w14:paraId="483F0687">
            <w:pPr>
              <w:rPr>
                <w:rFonts w:hint="eastAsia"/>
              </w:rPr>
            </w:pPr>
          </w:p>
        </w:tc>
        <w:tc>
          <w:tcPr>
            <w:tcW w:w="5749" w:type="dxa"/>
            <w:vAlign w:val="center"/>
          </w:tcPr>
          <w:p w14:paraId="34EA4D13">
            <w:pPr>
              <w:rPr>
                <w:rFonts w:ascii="Times New Roman" w:hAnsi="Times New Roman" w:cs="Times New Roman"/>
              </w:rPr>
            </w:pPr>
            <w:r>
              <w:rPr>
                <w:rFonts w:ascii="Times New Roman" w:hAnsi="Times New Roman" w:cs="Times New Roman"/>
              </w:rPr>
              <w:t>兼容</w:t>
            </w:r>
            <w:r>
              <w:rPr>
                <w:rFonts w:hint="eastAsia" w:ascii="Times New Roman" w:hAnsi="Times New Roman" w:cs="Times New Roman"/>
              </w:rPr>
              <w:t>多种沉积模式</w:t>
            </w:r>
            <w:r>
              <w:rPr>
                <w:rFonts w:ascii="Times New Roman" w:hAnsi="Times New Roman" w:cs="Times New Roman"/>
              </w:rPr>
              <w:t>可以实现深宽比不小于200：1纳米沟槽保型镀膜。沟槽顶部薄膜厚度与沟槽底部薄膜厚度相对差不超过10%。</w:t>
            </w:r>
          </w:p>
        </w:tc>
      </w:tr>
      <w:tr w14:paraId="54BD7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60333458">
            <w:pPr>
              <w:rPr>
                <w:rFonts w:hint="eastAsia"/>
              </w:rPr>
            </w:pPr>
            <w:r>
              <w:rPr>
                <w:rFonts w:hint="eastAsia"/>
              </w:rPr>
              <w:t>13</w:t>
            </w:r>
            <w:r>
              <w:t xml:space="preserve"> </w:t>
            </w:r>
          </w:p>
        </w:tc>
        <w:tc>
          <w:tcPr>
            <w:tcW w:w="1559" w:type="dxa"/>
            <w:vMerge w:val="continue"/>
            <w:vAlign w:val="center"/>
          </w:tcPr>
          <w:p w14:paraId="276BF8C0">
            <w:pPr>
              <w:rPr>
                <w:rFonts w:hint="eastAsia"/>
              </w:rPr>
            </w:pPr>
          </w:p>
        </w:tc>
        <w:tc>
          <w:tcPr>
            <w:tcW w:w="5749" w:type="dxa"/>
            <w:vAlign w:val="center"/>
          </w:tcPr>
          <w:p w14:paraId="74329CFD">
            <w:pPr>
              <w:rPr>
                <w:rFonts w:ascii="Times New Roman" w:hAnsi="Times New Roman" w:cs="Times New Roman"/>
              </w:rPr>
            </w:pPr>
            <w:r>
              <w:rPr>
                <w:rFonts w:ascii="Times New Roman" w:hAnsi="Times New Roman" w:cs="Times New Roman"/>
              </w:rPr>
              <w:t>提供成熟的制程工艺包，包含不少于Al</w:t>
            </w:r>
            <w:r>
              <w:rPr>
                <w:rFonts w:ascii="Times New Roman" w:hAnsi="Times New Roman" w:cs="Times New Roman"/>
                <w:vertAlign w:val="subscript"/>
              </w:rPr>
              <w:t>2</w:t>
            </w:r>
            <w:r>
              <w:rPr>
                <w:rFonts w:ascii="Times New Roman" w:hAnsi="Times New Roman" w:cs="Times New Roman"/>
              </w:rPr>
              <w:t>O</w:t>
            </w:r>
            <w:r>
              <w:rPr>
                <w:rFonts w:ascii="Times New Roman" w:hAnsi="Times New Roman" w:cs="Times New Roman"/>
                <w:vertAlign w:val="subscript"/>
              </w:rPr>
              <w:t>3</w:t>
            </w:r>
            <w:r>
              <w:rPr>
                <w:rFonts w:ascii="Times New Roman" w:hAnsi="Times New Roman" w:cs="Times New Roman"/>
              </w:rPr>
              <w:t>、TiO</w:t>
            </w:r>
            <w:r>
              <w:rPr>
                <w:rFonts w:ascii="Times New Roman" w:hAnsi="Times New Roman" w:cs="Times New Roman"/>
                <w:vertAlign w:val="subscript"/>
              </w:rPr>
              <w:t>2</w:t>
            </w:r>
            <w:r>
              <w:rPr>
                <w:rFonts w:ascii="Times New Roman" w:hAnsi="Times New Roman" w:cs="Times New Roman"/>
              </w:rPr>
              <w:t>、HfO</w:t>
            </w:r>
            <w:r>
              <w:rPr>
                <w:rFonts w:ascii="Times New Roman" w:hAnsi="Times New Roman" w:cs="Times New Roman"/>
                <w:vertAlign w:val="subscript"/>
              </w:rPr>
              <w:t>2</w:t>
            </w:r>
            <w:r>
              <w:rPr>
                <w:rFonts w:ascii="Times New Roman" w:hAnsi="Times New Roman" w:cs="Times New Roman"/>
              </w:rPr>
              <w:t>、ZnO、Ga</w:t>
            </w:r>
            <w:r>
              <w:rPr>
                <w:rFonts w:ascii="Times New Roman" w:hAnsi="Times New Roman" w:cs="Times New Roman"/>
                <w:vertAlign w:val="subscript"/>
              </w:rPr>
              <w:t>2</w:t>
            </w:r>
            <w:r>
              <w:rPr>
                <w:rFonts w:ascii="Times New Roman" w:hAnsi="Times New Roman" w:cs="Times New Roman"/>
              </w:rPr>
              <w:t>O</w:t>
            </w:r>
            <w:r>
              <w:rPr>
                <w:rFonts w:ascii="Times New Roman" w:hAnsi="Times New Roman" w:cs="Times New Roman"/>
                <w:vertAlign w:val="subscript"/>
              </w:rPr>
              <w:t>3</w:t>
            </w:r>
            <w:r>
              <w:rPr>
                <w:rFonts w:ascii="Times New Roman" w:hAnsi="Times New Roman" w:cs="Times New Roman"/>
              </w:rPr>
              <w:t>、SnO</w:t>
            </w:r>
            <w:r>
              <w:rPr>
                <w:rFonts w:ascii="Times New Roman" w:hAnsi="Times New Roman" w:cs="Times New Roman"/>
                <w:vertAlign w:val="subscript"/>
              </w:rPr>
              <w:t>2</w:t>
            </w:r>
            <w:r>
              <w:rPr>
                <w:rFonts w:ascii="Times New Roman" w:hAnsi="Times New Roman" w:cs="Times New Roman"/>
              </w:rPr>
              <w:t>、ZrO</w:t>
            </w:r>
            <w:r>
              <w:rPr>
                <w:rFonts w:ascii="Times New Roman" w:hAnsi="Times New Roman" w:cs="Times New Roman"/>
                <w:vertAlign w:val="subscript"/>
              </w:rPr>
              <w:t>2</w:t>
            </w:r>
            <w:r>
              <w:rPr>
                <w:rFonts w:ascii="Times New Roman" w:hAnsi="Times New Roman" w:cs="Times New Roman"/>
              </w:rPr>
              <w:t>等薄膜的成熟工艺包。</w:t>
            </w:r>
          </w:p>
        </w:tc>
      </w:tr>
      <w:tr w14:paraId="6069C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242166F0">
            <w:pPr>
              <w:rPr>
                <w:rFonts w:hint="eastAsia"/>
              </w:rPr>
            </w:pPr>
            <w:r>
              <w:rPr>
                <w:rFonts w:hint="eastAsia"/>
              </w:rPr>
              <w:t>14</w:t>
            </w:r>
          </w:p>
        </w:tc>
        <w:tc>
          <w:tcPr>
            <w:tcW w:w="1559" w:type="dxa"/>
            <w:vMerge w:val="continue"/>
            <w:vAlign w:val="center"/>
          </w:tcPr>
          <w:p w14:paraId="3076D968">
            <w:pPr>
              <w:rPr>
                <w:rFonts w:hint="eastAsia"/>
              </w:rPr>
            </w:pPr>
          </w:p>
        </w:tc>
        <w:tc>
          <w:tcPr>
            <w:tcW w:w="5749" w:type="dxa"/>
            <w:vAlign w:val="center"/>
          </w:tcPr>
          <w:p w14:paraId="5A7F4AEA">
            <w:pPr>
              <w:rPr>
                <w:rFonts w:ascii="Times New Roman" w:hAnsi="Times New Roman" w:cs="Times New Roman"/>
              </w:rPr>
            </w:pPr>
            <w:r>
              <w:rPr>
                <w:rFonts w:ascii="Times New Roman" w:hAnsi="Times New Roman" w:cs="Times New Roman"/>
              </w:rPr>
              <w:t>提供操作控制系统及控制电脑。要求控制程序具有人性化界面，用户可以自编程工艺配方、可以实现参数设置、系统动态监控、数据记录、存储与显示。要求该控制软件可以获得免费升级服务。其中笔记本电脑配置要求存储空间512G以上，内存8G及以上，CPU配置赛扬4500及以上。</w:t>
            </w:r>
          </w:p>
        </w:tc>
      </w:tr>
      <w:tr w14:paraId="43DBA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4923FD59">
            <w:pPr>
              <w:rPr>
                <w:rFonts w:hint="eastAsia"/>
              </w:rPr>
            </w:pPr>
            <w:r>
              <w:rPr>
                <w:rFonts w:hint="eastAsia"/>
              </w:rPr>
              <w:t>15</w:t>
            </w:r>
          </w:p>
        </w:tc>
        <w:tc>
          <w:tcPr>
            <w:tcW w:w="1559" w:type="dxa"/>
            <w:vMerge w:val="continue"/>
            <w:vAlign w:val="center"/>
          </w:tcPr>
          <w:p w14:paraId="04BB2D41">
            <w:pPr>
              <w:rPr>
                <w:rFonts w:hint="eastAsia"/>
              </w:rPr>
            </w:pPr>
          </w:p>
        </w:tc>
        <w:tc>
          <w:tcPr>
            <w:tcW w:w="5749" w:type="dxa"/>
            <w:vAlign w:val="center"/>
          </w:tcPr>
          <w:p w14:paraId="1BC3DC00">
            <w:pPr>
              <w:rPr>
                <w:rFonts w:ascii="Times New Roman" w:hAnsi="Times New Roman" w:cs="Times New Roman"/>
              </w:rPr>
            </w:pPr>
            <w:r>
              <w:rPr>
                <w:rFonts w:ascii="Times New Roman" w:hAnsi="Times New Roman" w:cs="Times New Roman"/>
              </w:rPr>
              <w:t>提供三甲基铝、四二甲胺基铪、四二甲胺基锡、三甲基镓，四二甲胺基锆、四二甲胺基钛高纯反应源且反应源金属纯度不低于99.999%，每个源不少于25克。</w:t>
            </w:r>
          </w:p>
        </w:tc>
      </w:tr>
    </w:tbl>
    <w:p w14:paraId="740874A9">
      <w:pPr>
        <w:rPr>
          <w:rFonts w:hint="eastAsi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CD718B"/>
    <w:multiLevelType w:val="multilevel"/>
    <w:tmpl w:val="25CD718B"/>
    <w:lvl w:ilvl="0" w:tentative="0">
      <w:start w:val="1"/>
      <w:numFmt w:val="decimal"/>
      <w:lvlText w:val="%1."/>
      <w:lvlJc w:val="left"/>
      <w:pPr>
        <w:ind w:left="420" w:hanging="420"/>
      </w:pPr>
    </w:lvl>
    <w:lvl w:ilvl="1" w:tentative="0">
      <w:start w:val="1"/>
      <w:numFmt w:val="decimal"/>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90B"/>
    <w:rsid w:val="000439E6"/>
    <w:rsid w:val="000475A5"/>
    <w:rsid w:val="000A5EF4"/>
    <w:rsid w:val="000D7CA8"/>
    <w:rsid w:val="00131CEB"/>
    <w:rsid w:val="001449D3"/>
    <w:rsid w:val="00180D3E"/>
    <w:rsid w:val="00182861"/>
    <w:rsid w:val="001A206D"/>
    <w:rsid w:val="001A36FE"/>
    <w:rsid w:val="001B7CB9"/>
    <w:rsid w:val="0028770E"/>
    <w:rsid w:val="002B727E"/>
    <w:rsid w:val="002D068F"/>
    <w:rsid w:val="00373139"/>
    <w:rsid w:val="003E067C"/>
    <w:rsid w:val="004C6D37"/>
    <w:rsid w:val="004F3284"/>
    <w:rsid w:val="0051301F"/>
    <w:rsid w:val="0054082E"/>
    <w:rsid w:val="006D2A38"/>
    <w:rsid w:val="00700C35"/>
    <w:rsid w:val="007334A3"/>
    <w:rsid w:val="00733B22"/>
    <w:rsid w:val="007669CB"/>
    <w:rsid w:val="00794F99"/>
    <w:rsid w:val="007C7A09"/>
    <w:rsid w:val="007F1E1E"/>
    <w:rsid w:val="00822A61"/>
    <w:rsid w:val="00860AFC"/>
    <w:rsid w:val="008A00BF"/>
    <w:rsid w:val="00924981"/>
    <w:rsid w:val="009D272F"/>
    <w:rsid w:val="00A96879"/>
    <w:rsid w:val="00B4490B"/>
    <w:rsid w:val="00C65700"/>
    <w:rsid w:val="00C73785"/>
    <w:rsid w:val="00C73BEB"/>
    <w:rsid w:val="00CE48E7"/>
    <w:rsid w:val="00D116E2"/>
    <w:rsid w:val="00D42546"/>
    <w:rsid w:val="00DC23C4"/>
    <w:rsid w:val="00DE398F"/>
    <w:rsid w:val="00E45A10"/>
    <w:rsid w:val="00EC657D"/>
    <w:rsid w:val="00FC6649"/>
    <w:rsid w:val="18F926A8"/>
    <w:rsid w:val="3EB412B6"/>
    <w:rsid w:val="526F60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Hyperlink"/>
    <w:basedOn w:val="6"/>
    <w:unhideWhenUsed/>
    <w:qFormat/>
    <w:uiPriority w:val="99"/>
    <w:rPr>
      <w:color w:val="0563C1" w:themeColor="hyperlink"/>
      <w:u w:val="single"/>
      <w14:textFill>
        <w14:solidFill>
          <w14:schemeClr w14:val="hlink"/>
        </w14:solidFill>
      </w14:textFill>
    </w:rPr>
  </w:style>
  <w:style w:type="paragraph" w:styleId="8">
    <w:name w:val="List Paragraph"/>
    <w:basedOn w:val="1"/>
    <w:qFormat/>
    <w:uiPriority w:val="34"/>
    <w:pPr>
      <w:ind w:firstLine="420" w:firstLineChars="200"/>
    </w:pPr>
  </w:style>
  <w:style w:type="character" w:customStyle="1" w:styleId="9">
    <w:name w:val="页眉 字符"/>
    <w:basedOn w:val="6"/>
    <w:link w:val="3"/>
    <w:qFormat/>
    <w:uiPriority w:val="99"/>
    <w:rPr>
      <w:sz w:val="18"/>
      <w:szCs w:val="18"/>
    </w:rPr>
  </w:style>
  <w:style w:type="character" w:customStyle="1" w:styleId="10">
    <w:name w:val="页脚 字符"/>
    <w:basedOn w:val="6"/>
    <w:link w:val="2"/>
    <w:qFormat/>
    <w:uiPriority w:val="99"/>
    <w:rPr>
      <w:sz w:val="18"/>
      <w:szCs w:val="18"/>
    </w:rPr>
  </w:style>
  <w:style w:type="paragraph" w:customStyle="1" w:styleId="11">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14:ligatures w14:val="standardContextual"/>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881</Words>
  <Characters>1023</Characters>
  <Lines>7</Lines>
  <Paragraphs>2</Paragraphs>
  <TotalTime>3</TotalTime>
  <ScaleCrop>false</ScaleCrop>
  <LinksUpToDate>false</LinksUpToDate>
  <CharactersWithSpaces>1039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2025-10-15T09:16:00Z</dcterms:created>
  <dc:creator>1</dc:creator>
  <cp:lastModifiedBy>段池</cp:lastModifiedBy>
  <dcterms:modified xsi:type="dcterms:W3CDTF">2025-11-17T02:47:48Z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D5100A3596D645ACAA011E569DCC2122_12</vt:lpwstr>
  </property>
</Properties>
</file>