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282EED">
      <w:pPr>
        <w:pStyle w:val="2"/>
        <w:keepNext w:val="0"/>
        <w:adjustRightInd w:val="0"/>
        <w:snapToGrid w:val="0"/>
        <w:spacing w:before="156" w:beforeLines="50"/>
        <w:rPr>
          <w:rFonts w:hint="eastAsia" w:ascii="黑体" w:hAnsi="华文中宋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采购清单</w:t>
      </w:r>
    </w:p>
    <w:p w14:paraId="229D197C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一、采购清单</w:t>
      </w:r>
    </w:p>
    <w:tbl>
      <w:tblPr>
        <w:tblStyle w:val="14"/>
        <w:tblW w:w="10131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"/>
        <w:gridCol w:w="930"/>
        <w:gridCol w:w="2509"/>
        <w:gridCol w:w="1159"/>
        <w:gridCol w:w="1229"/>
        <w:gridCol w:w="1021"/>
        <w:gridCol w:w="881"/>
        <w:gridCol w:w="948"/>
        <w:gridCol w:w="556"/>
      </w:tblGrid>
      <w:tr w14:paraId="37BB1E8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8" w:hRule="atLeast"/>
          <w:jc w:val="center"/>
        </w:trPr>
        <w:tc>
          <w:tcPr>
            <w:tcW w:w="898" w:type="dxa"/>
            <w:vMerge w:val="restart"/>
            <w:vAlign w:val="center"/>
          </w:tcPr>
          <w:p w14:paraId="7FE76649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项目名称</w:t>
            </w:r>
          </w:p>
        </w:tc>
        <w:tc>
          <w:tcPr>
            <w:tcW w:w="930" w:type="dxa"/>
            <w:vMerge w:val="restart"/>
            <w:vAlign w:val="center"/>
          </w:tcPr>
          <w:p w14:paraId="6B4C0038">
            <w:pPr>
              <w:adjustRightInd w:val="0"/>
              <w:snapToGrid w:val="0"/>
              <w:jc w:val="center"/>
              <w:rPr>
                <w:rFonts w:eastAsia="等线"/>
                <w:szCs w:val="21"/>
              </w:rPr>
            </w:pPr>
            <w:r>
              <w:rPr>
                <w:rFonts w:hint="eastAsia"/>
                <w:szCs w:val="21"/>
              </w:rPr>
              <w:t>是否核心产品</w:t>
            </w:r>
          </w:p>
        </w:tc>
        <w:tc>
          <w:tcPr>
            <w:tcW w:w="2509" w:type="dxa"/>
            <w:vMerge w:val="restart"/>
            <w:vAlign w:val="center"/>
          </w:tcPr>
          <w:p w14:paraId="5DB14E5E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分项项目名称</w:t>
            </w:r>
          </w:p>
          <w:p w14:paraId="761846E2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（标的名称）</w:t>
            </w:r>
          </w:p>
        </w:tc>
        <w:tc>
          <w:tcPr>
            <w:tcW w:w="1159" w:type="dxa"/>
            <w:vMerge w:val="restart"/>
            <w:tcBorders>
              <w:left w:val="single" w:color="auto" w:sz="4" w:space="0"/>
            </w:tcBorders>
            <w:vAlign w:val="center"/>
          </w:tcPr>
          <w:p w14:paraId="1C644B08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是否接受进口</w:t>
            </w:r>
            <w:r>
              <w:rPr>
                <w:rFonts w:hint="eastAsia" w:ascii="宋体" w:hAnsi="宋体" w:cs="宋体"/>
                <w:kern w:val="0"/>
                <w:szCs w:val="21"/>
              </w:rPr>
              <w:t>产品</w:t>
            </w:r>
          </w:p>
        </w:tc>
        <w:tc>
          <w:tcPr>
            <w:tcW w:w="1229" w:type="dxa"/>
            <w:vMerge w:val="restart"/>
            <w:vAlign w:val="center"/>
          </w:tcPr>
          <w:p w14:paraId="4E9F405B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数量</w:t>
            </w:r>
          </w:p>
          <w:p w14:paraId="4E74C3B7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（台套）</w:t>
            </w:r>
          </w:p>
        </w:tc>
        <w:tc>
          <w:tcPr>
            <w:tcW w:w="1021" w:type="dxa"/>
            <w:vMerge w:val="restart"/>
          </w:tcPr>
          <w:p w14:paraId="5323373A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预算</w:t>
            </w:r>
          </w:p>
          <w:p w14:paraId="5B283A79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（万元）</w:t>
            </w:r>
          </w:p>
        </w:tc>
        <w:tc>
          <w:tcPr>
            <w:tcW w:w="1829" w:type="dxa"/>
            <w:gridSpan w:val="2"/>
            <w:vAlign w:val="center"/>
          </w:tcPr>
          <w:p w14:paraId="70852975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交货要求</w:t>
            </w:r>
          </w:p>
        </w:tc>
        <w:tc>
          <w:tcPr>
            <w:tcW w:w="556" w:type="dxa"/>
            <w:vMerge w:val="restart"/>
            <w:vAlign w:val="center"/>
          </w:tcPr>
          <w:p w14:paraId="3F944F83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备注</w:t>
            </w:r>
          </w:p>
        </w:tc>
      </w:tr>
      <w:tr w14:paraId="1390657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" w:hRule="atLeast"/>
          <w:jc w:val="center"/>
        </w:trPr>
        <w:tc>
          <w:tcPr>
            <w:tcW w:w="898" w:type="dxa"/>
            <w:vMerge w:val="continue"/>
            <w:vAlign w:val="center"/>
          </w:tcPr>
          <w:p w14:paraId="208F9F0D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</w:p>
        </w:tc>
        <w:tc>
          <w:tcPr>
            <w:tcW w:w="930" w:type="dxa"/>
            <w:vMerge w:val="continue"/>
            <w:vAlign w:val="center"/>
          </w:tcPr>
          <w:p w14:paraId="40D5866C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</w:p>
        </w:tc>
        <w:tc>
          <w:tcPr>
            <w:tcW w:w="2509" w:type="dxa"/>
            <w:vMerge w:val="continue"/>
            <w:vAlign w:val="center"/>
          </w:tcPr>
          <w:p w14:paraId="5A92A8C3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</w:p>
        </w:tc>
        <w:tc>
          <w:tcPr>
            <w:tcW w:w="1159" w:type="dxa"/>
            <w:vMerge w:val="continue"/>
            <w:tcBorders>
              <w:left w:val="single" w:color="auto" w:sz="4" w:space="0"/>
            </w:tcBorders>
            <w:vAlign w:val="center"/>
          </w:tcPr>
          <w:p w14:paraId="47611E46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</w:p>
        </w:tc>
        <w:tc>
          <w:tcPr>
            <w:tcW w:w="1229" w:type="dxa"/>
            <w:vMerge w:val="continue"/>
            <w:vAlign w:val="center"/>
          </w:tcPr>
          <w:p w14:paraId="73D350AC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</w:p>
        </w:tc>
        <w:tc>
          <w:tcPr>
            <w:tcW w:w="1021" w:type="dxa"/>
            <w:vMerge w:val="continue"/>
          </w:tcPr>
          <w:p w14:paraId="1B946B95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</w:p>
        </w:tc>
        <w:tc>
          <w:tcPr>
            <w:tcW w:w="881" w:type="dxa"/>
            <w:vAlign w:val="center"/>
          </w:tcPr>
          <w:p w14:paraId="0CCAD03F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时间</w:t>
            </w:r>
          </w:p>
        </w:tc>
        <w:tc>
          <w:tcPr>
            <w:tcW w:w="948" w:type="dxa"/>
            <w:vAlign w:val="center"/>
          </w:tcPr>
          <w:p w14:paraId="5BA3BACE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地点</w:t>
            </w:r>
          </w:p>
        </w:tc>
        <w:tc>
          <w:tcPr>
            <w:tcW w:w="556" w:type="dxa"/>
            <w:vMerge w:val="continue"/>
          </w:tcPr>
          <w:p w14:paraId="33425A56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</w:tr>
      <w:tr w14:paraId="58FAA47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8" w:hRule="atLeast"/>
          <w:jc w:val="center"/>
        </w:trPr>
        <w:tc>
          <w:tcPr>
            <w:tcW w:w="898" w:type="dxa"/>
            <w:vMerge w:val="restart"/>
            <w:vAlign w:val="center"/>
          </w:tcPr>
          <w:p w14:paraId="25925ADB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  <w:r>
              <w:rPr>
                <w:szCs w:val="21"/>
              </w:rPr>
              <w:t>冶金综合实验-火法实验教学系统采购项目</w:t>
            </w:r>
          </w:p>
        </w:tc>
        <w:tc>
          <w:tcPr>
            <w:tcW w:w="930" w:type="dxa"/>
            <w:vAlign w:val="center"/>
          </w:tcPr>
          <w:p w14:paraId="7AB4535B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是</w:t>
            </w:r>
          </w:p>
        </w:tc>
        <w:tc>
          <w:tcPr>
            <w:tcW w:w="2509" w:type="dxa"/>
            <w:vAlign w:val="center"/>
          </w:tcPr>
          <w:p w14:paraId="72EEB50E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铁矿石软熔温度测定装置</w:t>
            </w:r>
          </w:p>
        </w:tc>
        <w:tc>
          <w:tcPr>
            <w:tcW w:w="1159" w:type="dxa"/>
            <w:tcBorders>
              <w:left w:val="single" w:color="auto" w:sz="4" w:space="0"/>
            </w:tcBorders>
            <w:vAlign w:val="center"/>
          </w:tcPr>
          <w:p w14:paraId="4AA4C29C">
            <w:pPr>
              <w:adjustRightInd w:val="0"/>
              <w:snapToGrid w:val="0"/>
              <w:spacing w:before="156" w:beforeLines="50"/>
              <w:jc w:val="center"/>
              <w:rPr>
                <w:rFonts w:eastAsia="等线"/>
                <w:szCs w:val="21"/>
              </w:rPr>
            </w:pPr>
            <w:r>
              <w:rPr>
                <w:rFonts w:hint="eastAsia"/>
                <w:szCs w:val="21"/>
              </w:rPr>
              <w:t>否</w:t>
            </w:r>
          </w:p>
        </w:tc>
        <w:tc>
          <w:tcPr>
            <w:tcW w:w="1229" w:type="dxa"/>
            <w:vAlign w:val="center"/>
          </w:tcPr>
          <w:p w14:paraId="2DCAC37F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1台</w:t>
            </w:r>
          </w:p>
        </w:tc>
        <w:tc>
          <w:tcPr>
            <w:tcW w:w="1021" w:type="dxa"/>
            <w:vMerge w:val="restart"/>
          </w:tcPr>
          <w:p w14:paraId="2D79270D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  <w:p w14:paraId="6CD01F91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  <w:p w14:paraId="5107A849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  <w:p w14:paraId="17F40E8A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  <w:p w14:paraId="3D768B8E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  <w:r>
              <w:rPr>
                <w:szCs w:val="21"/>
              </w:rPr>
              <w:t>48.31</w:t>
            </w:r>
          </w:p>
        </w:tc>
        <w:tc>
          <w:tcPr>
            <w:tcW w:w="881" w:type="dxa"/>
            <w:vMerge w:val="restart"/>
            <w:vAlign w:val="center"/>
          </w:tcPr>
          <w:p w14:paraId="56BABD65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  <w:r>
              <w:rPr>
                <w:rFonts w:hint="eastAsia"/>
                <w:szCs w:val="21"/>
              </w:rPr>
              <w:t>合同生效后，从合同签订之日起 6个月以内交付。</w:t>
            </w:r>
          </w:p>
        </w:tc>
        <w:tc>
          <w:tcPr>
            <w:tcW w:w="948" w:type="dxa"/>
            <w:vMerge w:val="restart"/>
            <w:vAlign w:val="center"/>
          </w:tcPr>
          <w:p w14:paraId="5500B8DC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  <w:r>
              <w:rPr>
                <w:szCs w:val="21"/>
              </w:rPr>
              <w:t>中南大学</w:t>
            </w:r>
          </w:p>
        </w:tc>
        <w:tc>
          <w:tcPr>
            <w:tcW w:w="556" w:type="dxa"/>
          </w:tcPr>
          <w:p w14:paraId="17C0C2B7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</w:tr>
      <w:tr w14:paraId="2A5FD75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8" w:hRule="atLeast"/>
          <w:jc w:val="center"/>
        </w:trPr>
        <w:tc>
          <w:tcPr>
            <w:tcW w:w="898" w:type="dxa"/>
            <w:vMerge w:val="continue"/>
          </w:tcPr>
          <w:p w14:paraId="22838B92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  <w:tc>
          <w:tcPr>
            <w:tcW w:w="930" w:type="dxa"/>
            <w:vAlign w:val="center"/>
          </w:tcPr>
          <w:p w14:paraId="2B8E37EE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是</w:t>
            </w:r>
          </w:p>
        </w:tc>
        <w:tc>
          <w:tcPr>
            <w:tcW w:w="2509" w:type="dxa"/>
            <w:vAlign w:val="center"/>
          </w:tcPr>
          <w:p w14:paraId="0A0481C7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铝电解模拟实验装置</w:t>
            </w:r>
          </w:p>
        </w:tc>
        <w:tc>
          <w:tcPr>
            <w:tcW w:w="1159" w:type="dxa"/>
            <w:vAlign w:val="center"/>
          </w:tcPr>
          <w:p w14:paraId="69F35A60">
            <w:pPr>
              <w:adjustRightInd w:val="0"/>
              <w:snapToGrid w:val="0"/>
              <w:spacing w:before="156" w:beforeLines="50"/>
              <w:jc w:val="center"/>
              <w:rPr>
                <w:rFonts w:eastAsia="等线"/>
                <w:szCs w:val="21"/>
              </w:rPr>
            </w:pPr>
            <w:r>
              <w:rPr>
                <w:rFonts w:hint="eastAsia" w:eastAsia="等线"/>
                <w:szCs w:val="21"/>
              </w:rPr>
              <w:t>否</w:t>
            </w:r>
          </w:p>
        </w:tc>
        <w:tc>
          <w:tcPr>
            <w:tcW w:w="1229" w:type="dxa"/>
            <w:vAlign w:val="center"/>
          </w:tcPr>
          <w:p w14:paraId="37DEFFB9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2台</w:t>
            </w:r>
          </w:p>
        </w:tc>
        <w:tc>
          <w:tcPr>
            <w:tcW w:w="1021" w:type="dxa"/>
            <w:vMerge w:val="continue"/>
          </w:tcPr>
          <w:p w14:paraId="7FCB4D6B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  <w:tc>
          <w:tcPr>
            <w:tcW w:w="881" w:type="dxa"/>
            <w:vMerge w:val="continue"/>
          </w:tcPr>
          <w:p w14:paraId="010536CD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  <w:tc>
          <w:tcPr>
            <w:tcW w:w="948" w:type="dxa"/>
            <w:vMerge w:val="continue"/>
          </w:tcPr>
          <w:p w14:paraId="4013FABD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  <w:tc>
          <w:tcPr>
            <w:tcW w:w="556" w:type="dxa"/>
          </w:tcPr>
          <w:p w14:paraId="5986FB34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</w:tr>
      <w:tr w14:paraId="694CC0F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5" w:hRule="atLeast"/>
          <w:jc w:val="center"/>
        </w:trPr>
        <w:tc>
          <w:tcPr>
            <w:tcW w:w="898" w:type="dxa"/>
            <w:vMerge w:val="continue"/>
          </w:tcPr>
          <w:p w14:paraId="39D47866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  <w:tc>
          <w:tcPr>
            <w:tcW w:w="930" w:type="dxa"/>
            <w:vAlign w:val="center"/>
          </w:tcPr>
          <w:p w14:paraId="271BB474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否</w:t>
            </w:r>
          </w:p>
        </w:tc>
        <w:tc>
          <w:tcPr>
            <w:tcW w:w="2509" w:type="dxa"/>
            <w:vAlign w:val="center"/>
          </w:tcPr>
          <w:p w14:paraId="6CE67FFC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计算机</w:t>
            </w:r>
          </w:p>
        </w:tc>
        <w:tc>
          <w:tcPr>
            <w:tcW w:w="1159" w:type="dxa"/>
            <w:vAlign w:val="center"/>
          </w:tcPr>
          <w:p w14:paraId="61C8C913">
            <w:pPr>
              <w:adjustRightInd w:val="0"/>
              <w:snapToGrid w:val="0"/>
              <w:spacing w:before="156" w:beforeLines="50"/>
              <w:jc w:val="center"/>
              <w:rPr>
                <w:rFonts w:eastAsia="等线"/>
                <w:szCs w:val="21"/>
              </w:rPr>
            </w:pPr>
            <w:r>
              <w:rPr>
                <w:rFonts w:hint="eastAsia" w:eastAsia="等线"/>
                <w:szCs w:val="21"/>
              </w:rPr>
              <w:t>否</w:t>
            </w:r>
          </w:p>
        </w:tc>
        <w:tc>
          <w:tcPr>
            <w:tcW w:w="1229" w:type="dxa"/>
            <w:vAlign w:val="center"/>
          </w:tcPr>
          <w:p w14:paraId="6ED6D8B5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2台</w:t>
            </w:r>
          </w:p>
        </w:tc>
        <w:tc>
          <w:tcPr>
            <w:tcW w:w="1021" w:type="dxa"/>
            <w:vMerge w:val="continue"/>
          </w:tcPr>
          <w:p w14:paraId="23901A11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  <w:tc>
          <w:tcPr>
            <w:tcW w:w="881" w:type="dxa"/>
            <w:vMerge w:val="continue"/>
          </w:tcPr>
          <w:p w14:paraId="43448CCB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  <w:tc>
          <w:tcPr>
            <w:tcW w:w="948" w:type="dxa"/>
            <w:vMerge w:val="continue"/>
          </w:tcPr>
          <w:p w14:paraId="37DA1719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  <w:tc>
          <w:tcPr>
            <w:tcW w:w="556" w:type="dxa"/>
          </w:tcPr>
          <w:p w14:paraId="44B4DB45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</w:tr>
      <w:tr w14:paraId="7586F79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" w:hRule="atLeast"/>
          <w:jc w:val="center"/>
        </w:trPr>
        <w:tc>
          <w:tcPr>
            <w:tcW w:w="898" w:type="dxa"/>
            <w:vMerge w:val="continue"/>
          </w:tcPr>
          <w:p w14:paraId="40933725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  <w:tc>
          <w:tcPr>
            <w:tcW w:w="930" w:type="dxa"/>
            <w:vMerge w:val="restart"/>
            <w:vAlign w:val="center"/>
          </w:tcPr>
          <w:p w14:paraId="6AB74C7F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否</w:t>
            </w:r>
          </w:p>
        </w:tc>
        <w:tc>
          <w:tcPr>
            <w:tcW w:w="2509" w:type="dxa"/>
            <w:vMerge w:val="restart"/>
            <w:vAlign w:val="center"/>
          </w:tcPr>
          <w:p w14:paraId="14FE9DF9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电子天平</w:t>
            </w:r>
          </w:p>
        </w:tc>
        <w:tc>
          <w:tcPr>
            <w:tcW w:w="1159" w:type="dxa"/>
            <w:vMerge w:val="restart"/>
            <w:vAlign w:val="center"/>
          </w:tcPr>
          <w:p w14:paraId="06FF1A46">
            <w:pPr>
              <w:adjustRightInd w:val="0"/>
              <w:snapToGrid w:val="0"/>
              <w:spacing w:before="156" w:beforeLines="50"/>
              <w:jc w:val="center"/>
              <w:rPr>
                <w:szCs w:val="21"/>
              </w:rPr>
            </w:pPr>
            <w:r>
              <w:rPr>
                <w:rFonts w:hint="eastAsia" w:eastAsia="等线"/>
                <w:szCs w:val="21"/>
              </w:rPr>
              <w:t>否</w:t>
            </w:r>
          </w:p>
        </w:tc>
        <w:tc>
          <w:tcPr>
            <w:tcW w:w="1229" w:type="dxa"/>
            <w:vMerge w:val="restart"/>
            <w:vAlign w:val="center"/>
          </w:tcPr>
          <w:p w14:paraId="039FA77B"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3台</w:t>
            </w:r>
            <w:bookmarkStart w:id="0" w:name="_GoBack"/>
            <w:bookmarkEnd w:id="0"/>
          </w:p>
        </w:tc>
        <w:tc>
          <w:tcPr>
            <w:tcW w:w="1021" w:type="dxa"/>
            <w:vMerge w:val="continue"/>
          </w:tcPr>
          <w:p w14:paraId="68D0404B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  <w:tc>
          <w:tcPr>
            <w:tcW w:w="881" w:type="dxa"/>
            <w:vMerge w:val="continue"/>
          </w:tcPr>
          <w:p w14:paraId="1EE8C811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  <w:tc>
          <w:tcPr>
            <w:tcW w:w="948" w:type="dxa"/>
            <w:vMerge w:val="continue"/>
          </w:tcPr>
          <w:p w14:paraId="634FF85C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  <w:tc>
          <w:tcPr>
            <w:tcW w:w="556" w:type="dxa"/>
          </w:tcPr>
          <w:p w14:paraId="0DF7C681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</w:tr>
      <w:tr w14:paraId="15ED862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" w:hRule="atLeast"/>
          <w:jc w:val="center"/>
        </w:trPr>
        <w:tc>
          <w:tcPr>
            <w:tcW w:w="898" w:type="dxa"/>
            <w:vMerge w:val="continue"/>
          </w:tcPr>
          <w:p w14:paraId="55D61714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  <w:tc>
          <w:tcPr>
            <w:tcW w:w="930" w:type="dxa"/>
            <w:vMerge w:val="continue"/>
            <w:vAlign w:val="center"/>
          </w:tcPr>
          <w:p w14:paraId="11403A67"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2509" w:type="dxa"/>
            <w:vMerge w:val="continue"/>
            <w:vAlign w:val="center"/>
          </w:tcPr>
          <w:p w14:paraId="680D369D"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1159" w:type="dxa"/>
            <w:vMerge w:val="continue"/>
            <w:vAlign w:val="center"/>
          </w:tcPr>
          <w:p w14:paraId="5DF523E3">
            <w:pPr>
              <w:rPr>
                <w:rFonts w:eastAsia="等线"/>
                <w:szCs w:val="21"/>
              </w:rPr>
            </w:pPr>
          </w:p>
        </w:tc>
        <w:tc>
          <w:tcPr>
            <w:tcW w:w="1229" w:type="dxa"/>
            <w:vMerge w:val="continue"/>
            <w:vAlign w:val="center"/>
          </w:tcPr>
          <w:p w14:paraId="206EA92A"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1021" w:type="dxa"/>
            <w:vMerge w:val="continue"/>
          </w:tcPr>
          <w:p w14:paraId="559463C5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  <w:tc>
          <w:tcPr>
            <w:tcW w:w="881" w:type="dxa"/>
            <w:vMerge w:val="continue"/>
          </w:tcPr>
          <w:p w14:paraId="505C60BC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  <w:tc>
          <w:tcPr>
            <w:tcW w:w="948" w:type="dxa"/>
            <w:vMerge w:val="continue"/>
          </w:tcPr>
          <w:p w14:paraId="02F7FA25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  <w:tc>
          <w:tcPr>
            <w:tcW w:w="556" w:type="dxa"/>
          </w:tcPr>
          <w:p w14:paraId="7E441BDA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</w:tr>
      <w:tr w14:paraId="763288D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6" w:hRule="atLeast"/>
          <w:jc w:val="center"/>
        </w:trPr>
        <w:tc>
          <w:tcPr>
            <w:tcW w:w="898" w:type="dxa"/>
            <w:vMerge w:val="continue"/>
          </w:tcPr>
          <w:p w14:paraId="5440CF80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  <w:tc>
          <w:tcPr>
            <w:tcW w:w="930" w:type="dxa"/>
            <w:vMerge w:val="continue"/>
            <w:vAlign w:val="center"/>
          </w:tcPr>
          <w:p w14:paraId="55653DF6">
            <w:pPr>
              <w:adjustRightInd w:val="0"/>
              <w:snapToGrid w:val="0"/>
              <w:jc w:val="center"/>
              <w:rPr>
                <w:szCs w:val="21"/>
              </w:rPr>
            </w:pPr>
            <w:commentRangeStart w:id="0"/>
          </w:p>
        </w:tc>
        <w:tc>
          <w:tcPr>
            <w:tcW w:w="2509" w:type="dxa"/>
            <w:vMerge w:val="continue"/>
            <w:vAlign w:val="center"/>
          </w:tcPr>
          <w:p w14:paraId="2806E5C1">
            <w:pPr>
              <w:adjustRightInd w:val="0"/>
              <w:snapToGrid w:val="0"/>
              <w:rPr>
                <w:szCs w:val="21"/>
              </w:rPr>
            </w:pPr>
          </w:p>
          <w:commentRangeEnd w:id="0"/>
          <w:p w14:paraId="4CD8DDA0">
            <w:r>
              <w:rPr>
                <w:rStyle w:val="16"/>
                <w:szCs w:val="24"/>
              </w:rPr>
              <w:commentReference w:id="0"/>
            </w:r>
          </w:p>
        </w:tc>
        <w:tc>
          <w:tcPr>
            <w:tcW w:w="1159" w:type="dxa"/>
            <w:vMerge w:val="continue"/>
            <w:vAlign w:val="center"/>
          </w:tcPr>
          <w:p w14:paraId="0A267F6D"/>
        </w:tc>
        <w:tc>
          <w:tcPr>
            <w:tcW w:w="1229" w:type="dxa"/>
            <w:vMerge w:val="continue"/>
            <w:vAlign w:val="center"/>
          </w:tcPr>
          <w:p w14:paraId="07A75366">
            <w:pPr>
              <w:adjustRightInd w:val="0"/>
              <w:snapToGrid w:val="0"/>
              <w:jc w:val="center"/>
              <w:rPr>
                <w:szCs w:val="21"/>
              </w:rPr>
            </w:pPr>
          </w:p>
        </w:tc>
        <w:tc>
          <w:tcPr>
            <w:tcW w:w="1021" w:type="dxa"/>
            <w:vMerge w:val="continue"/>
          </w:tcPr>
          <w:p w14:paraId="5F8141F6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  <w:tc>
          <w:tcPr>
            <w:tcW w:w="881" w:type="dxa"/>
            <w:vMerge w:val="continue"/>
          </w:tcPr>
          <w:p w14:paraId="393733A4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  <w:tc>
          <w:tcPr>
            <w:tcW w:w="948" w:type="dxa"/>
            <w:vMerge w:val="continue"/>
          </w:tcPr>
          <w:p w14:paraId="15C4EE47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  <w:tc>
          <w:tcPr>
            <w:tcW w:w="556" w:type="dxa"/>
          </w:tcPr>
          <w:p w14:paraId="3EF5C926">
            <w:pPr>
              <w:adjustRightInd w:val="0"/>
              <w:snapToGrid w:val="0"/>
              <w:spacing w:before="156" w:beforeLines="50"/>
              <w:rPr>
                <w:szCs w:val="21"/>
              </w:rPr>
            </w:pPr>
          </w:p>
        </w:tc>
      </w:tr>
    </w:tbl>
    <w:p w14:paraId="0BB8E911">
      <w:pPr>
        <w:rPr>
          <w:b/>
          <w:bCs/>
          <w:szCs w:val="21"/>
        </w:rPr>
      </w:pPr>
    </w:p>
    <w:p w14:paraId="74068B0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采招中心" w:date="2026-01-27T17:15:00Z" w:initials="采招中心">
    <w:p w14:paraId="05F09C58">
      <w:pPr>
        <w:pStyle w:val="4"/>
      </w:pPr>
      <w:r>
        <w:rPr>
          <w:rFonts w:hint="eastAsia"/>
        </w:rPr>
        <w:t>删除空白行。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05F09C58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采招中心">
    <w15:presenceInfo w15:providerId="None" w15:userId="采招中心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VhZjBjNjgyOWNjMGU1NGJjMmVhNzY1NzIzMWE2MDkifQ=="/>
  </w:docVars>
  <w:rsids>
    <w:rsidRoot w:val="093B3B91"/>
    <w:rsid w:val="00024DAB"/>
    <w:rsid w:val="000446D3"/>
    <w:rsid w:val="00053154"/>
    <w:rsid w:val="0009792D"/>
    <w:rsid w:val="000A3AE8"/>
    <w:rsid w:val="000B4435"/>
    <w:rsid w:val="000E47FB"/>
    <w:rsid w:val="000E536F"/>
    <w:rsid w:val="000F5FF1"/>
    <w:rsid w:val="00107CF7"/>
    <w:rsid w:val="0013134B"/>
    <w:rsid w:val="00141D1F"/>
    <w:rsid w:val="00143214"/>
    <w:rsid w:val="00152207"/>
    <w:rsid w:val="00171FC7"/>
    <w:rsid w:val="00190636"/>
    <w:rsid w:val="001A350B"/>
    <w:rsid w:val="001A6642"/>
    <w:rsid w:val="001A6C67"/>
    <w:rsid w:val="001B3A36"/>
    <w:rsid w:val="001B4EC5"/>
    <w:rsid w:val="001D22D6"/>
    <w:rsid w:val="002162DE"/>
    <w:rsid w:val="002259F8"/>
    <w:rsid w:val="00227A90"/>
    <w:rsid w:val="002345FF"/>
    <w:rsid w:val="00265657"/>
    <w:rsid w:val="0028048B"/>
    <w:rsid w:val="00287B91"/>
    <w:rsid w:val="002D41CD"/>
    <w:rsid w:val="00301F8E"/>
    <w:rsid w:val="00316D2F"/>
    <w:rsid w:val="003201D8"/>
    <w:rsid w:val="00324594"/>
    <w:rsid w:val="00333095"/>
    <w:rsid w:val="00333D7C"/>
    <w:rsid w:val="003411CC"/>
    <w:rsid w:val="003675EC"/>
    <w:rsid w:val="003A0F3A"/>
    <w:rsid w:val="00425BEB"/>
    <w:rsid w:val="00474313"/>
    <w:rsid w:val="00477F11"/>
    <w:rsid w:val="004841FD"/>
    <w:rsid w:val="004D75EE"/>
    <w:rsid w:val="004D7F8A"/>
    <w:rsid w:val="004E7255"/>
    <w:rsid w:val="0054139D"/>
    <w:rsid w:val="005A167B"/>
    <w:rsid w:val="005A21C9"/>
    <w:rsid w:val="005B6955"/>
    <w:rsid w:val="005E2DCA"/>
    <w:rsid w:val="005F3308"/>
    <w:rsid w:val="005F6C2D"/>
    <w:rsid w:val="0064357F"/>
    <w:rsid w:val="00647BBC"/>
    <w:rsid w:val="006A3E5B"/>
    <w:rsid w:val="006C0C72"/>
    <w:rsid w:val="006C1B44"/>
    <w:rsid w:val="006D2966"/>
    <w:rsid w:val="006D65AF"/>
    <w:rsid w:val="006D7D75"/>
    <w:rsid w:val="006F6DB5"/>
    <w:rsid w:val="00734384"/>
    <w:rsid w:val="00743334"/>
    <w:rsid w:val="00754351"/>
    <w:rsid w:val="00772EE5"/>
    <w:rsid w:val="00786D73"/>
    <w:rsid w:val="007C4B03"/>
    <w:rsid w:val="007E5091"/>
    <w:rsid w:val="007F1BFE"/>
    <w:rsid w:val="007F3AC7"/>
    <w:rsid w:val="007F5443"/>
    <w:rsid w:val="00835584"/>
    <w:rsid w:val="008D026A"/>
    <w:rsid w:val="008D69C8"/>
    <w:rsid w:val="008E2D03"/>
    <w:rsid w:val="00900C35"/>
    <w:rsid w:val="009511DB"/>
    <w:rsid w:val="00951E7B"/>
    <w:rsid w:val="00976B7A"/>
    <w:rsid w:val="00976E61"/>
    <w:rsid w:val="00984741"/>
    <w:rsid w:val="00994EB4"/>
    <w:rsid w:val="009A27C4"/>
    <w:rsid w:val="00A1328E"/>
    <w:rsid w:val="00A14CEF"/>
    <w:rsid w:val="00A303DD"/>
    <w:rsid w:val="00A56991"/>
    <w:rsid w:val="00A6232E"/>
    <w:rsid w:val="00A62D3F"/>
    <w:rsid w:val="00A8498B"/>
    <w:rsid w:val="00AE0BCF"/>
    <w:rsid w:val="00AE1CEF"/>
    <w:rsid w:val="00AF01B6"/>
    <w:rsid w:val="00B202DC"/>
    <w:rsid w:val="00B23B0E"/>
    <w:rsid w:val="00B319EF"/>
    <w:rsid w:val="00B67EF6"/>
    <w:rsid w:val="00B71572"/>
    <w:rsid w:val="00B9526F"/>
    <w:rsid w:val="00BA3BBB"/>
    <w:rsid w:val="00BC7627"/>
    <w:rsid w:val="00BE07B1"/>
    <w:rsid w:val="00C1283F"/>
    <w:rsid w:val="00C2029D"/>
    <w:rsid w:val="00C30CAF"/>
    <w:rsid w:val="00C363B4"/>
    <w:rsid w:val="00C601C8"/>
    <w:rsid w:val="00C723A3"/>
    <w:rsid w:val="00C9005B"/>
    <w:rsid w:val="00C92C13"/>
    <w:rsid w:val="00CD6E47"/>
    <w:rsid w:val="00CF439F"/>
    <w:rsid w:val="00CF60BA"/>
    <w:rsid w:val="00D03EE7"/>
    <w:rsid w:val="00D0690F"/>
    <w:rsid w:val="00D243AA"/>
    <w:rsid w:val="00D35577"/>
    <w:rsid w:val="00D50AF4"/>
    <w:rsid w:val="00D50E92"/>
    <w:rsid w:val="00D9356D"/>
    <w:rsid w:val="00D94936"/>
    <w:rsid w:val="00DA42A6"/>
    <w:rsid w:val="00DB05C6"/>
    <w:rsid w:val="00DE1FF6"/>
    <w:rsid w:val="00DF5045"/>
    <w:rsid w:val="00E064EA"/>
    <w:rsid w:val="00E210BF"/>
    <w:rsid w:val="00E2215B"/>
    <w:rsid w:val="00E22908"/>
    <w:rsid w:val="00E31A5A"/>
    <w:rsid w:val="00E56FB3"/>
    <w:rsid w:val="00E641D7"/>
    <w:rsid w:val="00E74216"/>
    <w:rsid w:val="00E92B5C"/>
    <w:rsid w:val="00E94021"/>
    <w:rsid w:val="00EB4697"/>
    <w:rsid w:val="00ED3231"/>
    <w:rsid w:val="00EE75CA"/>
    <w:rsid w:val="00EF6BA0"/>
    <w:rsid w:val="00F130A5"/>
    <w:rsid w:val="00FB5EAA"/>
    <w:rsid w:val="00FF504B"/>
    <w:rsid w:val="02B3434D"/>
    <w:rsid w:val="067032E2"/>
    <w:rsid w:val="093B3B91"/>
    <w:rsid w:val="0F73799F"/>
    <w:rsid w:val="0FFA59AF"/>
    <w:rsid w:val="13F42654"/>
    <w:rsid w:val="147D6BCA"/>
    <w:rsid w:val="15574AB0"/>
    <w:rsid w:val="15F1786F"/>
    <w:rsid w:val="19972C9D"/>
    <w:rsid w:val="19AA45C6"/>
    <w:rsid w:val="354D6418"/>
    <w:rsid w:val="39CE38A0"/>
    <w:rsid w:val="3BAE3989"/>
    <w:rsid w:val="43772091"/>
    <w:rsid w:val="467C123B"/>
    <w:rsid w:val="4805041B"/>
    <w:rsid w:val="4CEF5BAF"/>
    <w:rsid w:val="4ED432AF"/>
    <w:rsid w:val="523429E2"/>
    <w:rsid w:val="65F068A9"/>
    <w:rsid w:val="68210EBB"/>
    <w:rsid w:val="69841DF5"/>
    <w:rsid w:val="74024296"/>
    <w:rsid w:val="748C0004"/>
    <w:rsid w:val="7CCC7391"/>
    <w:rsid w:val="7D766E9F"/>
    <w:rsid w:val="7FF01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b/>
      <w:bCs/>
      <w:sz w:val="24"/>
      <w:szCs w:val="20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4">
    <w:name w:val="annotation text"/>
    <w:basedOn w:val="1"/>
    <w:link w:val="24"/>
    <w:qFormat/>
    <w:uiPriority w:val="0"/>
    <w:pPr>
      <w:jc w:val="left"/>
    </w:pPr>
  </w:style>
  <w:style w:type="paragraph" w:styleId="5">
    <w:name w:val="Body Text"/>
    <w:basedOn w:val="1"/>
    <w:semiHidden/>
    <w:qFormat/>
    <w:uiPriority w:val="0"/>
    <w:rPr>
      <w:rFonts w:ascii="宋体" w:hAnsi="宋体" w:cs="宋体"/>
      <w:sz w:val="18"/>
      <w:szCs w:val="18"/>
      <w:lang w:eastAsia="en-US"/>
    </w:rPr>
  </w:style>
  <w:style w:type="paragraph" w:styleId="6">
    <w:name w:val="Body Text Indent"/>
    <w:basedOn w:val="1"/>
    <w:qFormat/>
    <w:uiPriority w:val="0"/>
    <w:pPr>
      <w:spacing w:after="120"/>
      <w:ind w:left="420" w:leftChars="200"/>
    </w:pPr>
  </w:style>
  <w:style w:type="paragraph" w:styleId="7">
    <w:name w:val="Block Text"/>
    <w:basedOn w:val="1"/>
    <w:qFormat/>
    <w:uiPriority w:val="0"/>
    <w:pPr>
      <w:spacing w:line="240" w:lineRule="atLeast"/>
      <w:ind w:left="1440" w:leftChars="699" w:right="1197" w:rightChars="581"/>
    </w:pPr>
    <w:rPr>
      <w:spacing w:val="20"/>
    </w:rPr>
  </w:style>
  <w:style w:type="paragraph" w:styleId="8">
    <w:name w:val="Date"/>
    <w:basedOn w:val="1"/>
    <w:next w:val="1"/>
    <w:link w:val="23"/>
    <w:qFormat/>
    <w:uiPriority w:val="0"/>
    <w:pPr>
      <w:ind w:left="100" w:leftChars="2500"/>
    </w:pPr>
  </w:style>
  <w:style w:type="paragraph" w:styleId="9">
    <w:name w:val="footer"/>
    <w:basedOn w:val="1"/>
    <w:link w:val="2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Message Header"/>
    <w:basedOn w:val="1"/>
    <w:next w:val="7"/>
    <w:qFormat/>
    <w:uiPriority w:val="0"/>
    <w:pPr>
      <w:pBdr>
        <w:top w:val="none" w:color="auto" w:sz="0" w:space="1"/>
        <w:left w:val="none" w:color="auto" w:sz="0" w:space="1"/>
        <w:bottom w:val="none" w:color="auto" w:sz="0" w:space="1"/>
        <w:right w:val="none" w:color="auto" w:sz="0" w:space="1"/>
      </w:pBdr>
      <w:ind w:left="1080" w:leftChars="500" w:hanging="1080" w:hangingChars="500"/>
    </w:pPr>
    <w:rPr>
      <w:rFonts w:ascii="Arial" w:hAnsi="Arial"/>
      <w:color w:val="000000" w:themeColor="text1"/>
      <w14:textFill>
        <w14:solidFill>
          <w14:schemeClr w14:val="tx1"/>
        </w14:solidFill>
      </w14:textFill>
    </w:rPr>
  </w:style>
  <w:style w:type="paragraph" w:styleId="12">
    <w:name w:val="annotation subject"/>
    <w:basedOn w:val="4"/>
    <w:next w:val="4"/>
    <w:link w:val="25"/>
    <w:qFormat/>
    <w:uiPriority w:val="0"/>
    <w:rPr>
      <w:b/>
      <w:bCs/>
    </w:rPr>
  </w:style>
  <w:style w:type="paragraph" w:styleId="13">
    <w:name w:val="Body Text First Indent 2"/>
    <w:basedOn w:val="6"/>
    <w:next w:val="3"/>
    <w:qFormat/>
    <w:uiPriority w:val="99"/>
    <w:pPr>
      <w:ind w:firstLine="420" w:firstLineChars="200"/>
    </w:pPr>
  </w:style>
  <w:style w:type="character" w:styleId="16">
    <w:name w:val="annotation reference"/>
    <w:basedOn w:val="15"/>
    <w:qFormat/>
    <w:uiPriority w:val="0"/>
    <w:rPr>
      <w:sz w:val="21"/>
      <w:szCs w:val="21"/>
    </w:rPr>
  </w:style>
  <w:style w:type="character" w:customStyle="1" w:styleId="17">
    <w:name w:val="NormalCharacter"/>
    <w:qFormat/>
    <w:uiPriority w:val="0"/>
  </w:style>
  <w:style w:type="paragraph" w:customStyle="1" w:styleId="18">
    <w:name w:val="BodyText"/>
    <w:basedOn w:val="1"/>
    <w:qFormat/>
    <w:uiPriority w:val="0"/>
    <w:pPr>
      <w:spacing w:after="120"/>
    </w:pPr>
    <w:rPr>
      <w:kern w:val="0"/>
      <w:sz w:val="20"/>
    </w:rPr>
  </w:style>
  <w:style w:type="paragraph" w:customStyle="1" w:styleId="19">
    <w:name w:val="列出段落2"/>
    <w:basedOn w:val="1"/>
    <w:qFormat/>
    <w:uiPriority w:val="99"/>
    <w:pPr>
      <w:ind w:firstLine="420"/>
    </w:pPr>
  </w:style>
  <w:style w:type="paragraph" w:customStyle="1" w:styleId="20">
    <w:name w:val="列表段落1"/>
    <w:basedOn w:val="1"/>
    <w:qFormat/>
    <w:uiPriority w:val="0"/>
    <w:pPr>
      <w:ind w:firstLine="420" w:firstLineChars="200"/>
    </w:pPr>
  </w:style>
  <w:style w:type="character" w:customStyle="1" w:styleId="21">
    <w:name w:val="页眉 字符"/>
    <w:basedOn w:val="15"/>
    <w:link w:val="10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22">
    <w:name w:val="页脚 字符"/>
    <w:basedOn w:val="15"/>
    <w:link w:val="9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23">
    <w:name w:val="日期 字符"/>
    <w:basedOn w:val="15"/>
    <w:link w:val="8"/>
    <w:qFormat/>
    <w:uiPriority w:val="0"/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24">
    <w:name w:val="批注文字 字符"/>
    <w:basedOn w:val="15"/>
    <w:link w:val="4"/>
    <w:qFormat/>
    <w:uiPriority w:val="0"/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25">
    <w:name w:val="批注主题 字符"/>
    <w:basedOn w:val="24"/>
    <w:link w:val="12"/>
    <w:qFormat/>
    <w:uiPriority w:val="0"/>
    <w:rPr>
      <w:rFonts w:ascii="Times New Roman" w:hAnsi="Times New Roman" w:eastAsia="宋体" w:cs="Times New Roman"/>
      <w:b/>
      <w:bCs/>
      <w:kern w:val="2"/>
      <w:sz w:val="21"/>
      <w:szCs w:val="24"/>
    </w:rPr>
  </w:style>
  <w:style w:type="paragraph" w:customStyle="1" w:styleId="26">
    <w:name w:val="修订1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7">
    <w:name w:val="修订2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197</Words>
  <Characters>209</Characters>
  <Lines>2</Lines>
  <Paragraphs>1</Paragraphs>
  <TotalTime>15</TotalTime>
  <ScaleCrop>false</ScaleCrop>
  <LinksUpToDate>false</LinksUpToDate>
  <CharactersWithSpaces>210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2022-11-17T00:15:00Z</dcterms:created>
  <dc:creator>陈雷</dc:creator>
  <cp:lastModifiedBy>段池</cp:lastModifiedBy>
  <dcterms:modified xsi:type="dcterms:W3CDTF">2026-01-30T09:22:23Z</dcterms:modified>
  <cp:revision>119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D2182343D3444D2992891F7536B66C0B_13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