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439492">
      <w:pPr>
        <w:tabs>
          <w:tab w:val="left" w:pos="0"/>
        </w:tabs>
        <w:adjustRightInd w:val="0"/>
        <w:snapToGrid w:val="0"/>
        <w:spacing w:before="156" w:beforeLines="50" w:after="156" w:afterLines="50" w:line="560" w:lineRule="exact"/>
        <w:rPr>
          <w:rFonts w:ascii="宋体" w:hAnsi="宋体" w:cs="宋体"/>
          <w:bCs/>
          <w:sz w:val="30"/>
          <w:szCs w:val="30"/>
        </w:rPr>
      </w:pPr>
      <w:r>
        <w:rPr>
          <w:rFonts w:hint="eastAsia" w:ascii="宋体" w:hAnsi="宋体" w:cs="宋体"/>
          <w:bCs/>
          <w:sz w:val="30"/>
          <w:szCs w:val="30"/>
        </w:rPr>
        <w:t>附件1：</w:t>
      </w:r>
    </w:p>
    <w:p w14:paraId="4BCDCEEA">
      <w:pPr>
        <w:tabs>
          <w:tab w:val="left" w:pos="0"/>
        </w:tabs>
        <w:adjustRightInd w:val="0"/>
        <w:snapToGrid w:val="0"/>
        <w:spacing w:before="156" w:beforeLines="50" w:after="156" w:afterLines="50"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拟购流式细胞仪1基本情况</w:t>
      </w:r>
    </w:p>
    <w:p w14:paraId="5B44E8C3">
      <w:pPr>
        <w:adjustRightInd w:val="0"/>
        <w:snapToGrid w:val="0"/>
        <w:spacing w:before="156" w:beforeLines="50" w:after="156" w:afterLines="50" w:line="560" w:lineRule="exact"/>
        <w:ind w:firstLine="602" w:firstLineChars="200"/>
        <w:rPr>
          <w:rFonts w:ascii="宋体" w:hAnsi="宋体" w:cs="宋体"/>
          <w:b/>
          <w:bCs/>
          <w:sz w:val="30"/>
          <w:szCs w:val="30"/>
        </w:rPr>
      </w:pPr>
      <w:r>
        <w:rPr>
          <w:rFonts w:hint="eastAsia" w:ascii="宋体" w:hAnsi="宋体" w:cs="宋体"/>
          <w:b/>
          <w:bCs/>
          <w:sz w:val="30"/>
          <w:szCs w:val="30"/>
        </w:rPr>
        <w:t>（一）拟购设备用途、功能</w:t>
      </w:r>
    </w:p>
    <w:p w14:paraId="6F646EBD">
      <w:pPr>
        <w:adjustRightInd w:val="0"/>
        <w:snapToGrid w:val="0"/>
        <w:spacing w:before="156" w:beforeLines="50" w:after="156" w:afterLines="50"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用途：因学院已开设课程《现代分析测试技术》、《生物化学、细胞与分子生物学实验》、《无机生物材料》等新增设的研究创新型教学实验需要，但设备存在短程实验操作不可分解问题，共享学校现有设备难以满足拔尖创新人才培养要求，申购的流式细胞仪可为教师进行科研合作、课题申报提供必要支持，有助于提升学科多元化发展的可能。</w:t>
      </w:r>
    </w:p>
    <w:p w14:paraId="115845B0">
      <w:pPr>
        <w:adjustRightInd w:val="0"/>
        <w:snapToGrid w:val="0"/>
        <w:spacing w:before="156" w:beforeLines="50" w:after="156" w:afterLines="50"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功能：对细胞进行自动分析和分选，快速测量、存贮、显示悬浮在液体中的分散细胞的一系列重要的生物物理、生物化学的特征参量，根据预选的参量范围把指定的细胞亚群从中分选出来。</w:t>
      </w:r>
    </w:p>
    <w:p w14:paraId="597D649F">
      <w:pPr>
        <w:tabs>
          <w:tab w:val="left" w:pos="0"/>
        </w:tabs>
        <w:adjustRightInd w:val="0"/>
        <w:snapToGrid w:val="0"/>
        <w:spacing w:before="156" w:beforeLines="50" w:after="156" w:afterLines="50" w:line="560" w:lineRule="exact"/>
        <w:ind w:firstLine="602" w:firstLineChars="200"/>
        <w:rPr>
          <w:rFonts w:hint="eastAsia" w:ascii="宋体" w:hAnsi="宋体" w:cs="宋体"/>
          <w:b/>
          <w:sz w:val="30"/>
          <w:szCs w:val="30"/>
        </w:rPr>
      </w:pPr>
      <w:bookmarkStart w:id="0" w:name="OLE_LINK1"/>
      <w:bookmarkStart w:id="1" w:name="OLE_LINK3"/>
      <w:r>
        <w:rPr>
          <w:rFonts w:hint="eastAsia" w:ascii="宋体" w:hAnsi="宋体" w:cs="宋体"/>
          <w:b/>
          <w:sz w:val="30"/>
          <w:szCs w:val="30"/>
        </w:rPr>
        <w:t>（二）拟设技术参数</w:t>
      </w:r>
    </w:p>
    <w:bookmarkEnd w:id="0"/>
    <w:bookmarkEnd w:id="1"/>
    <w:p w14:paraId="7CC13489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1.光学系统:1.1激光:要求配置全固态激光器，配置不低于2激光4色荧光，488nm激光器且激光功率&gt;50mw、638nm固态激光器目激光功率&gt;50mw。1.2配置后续可升级增加激光及荧光检测器端口。1.3光路设计:免校准集成光学石英流动室，固定一体化光路系统，数值孔径&gt;1.3NA。1.4采用FAPD检测器。1.5 质量控制:全自动化 QC 质控，智能化调整激光功率，无需工程师校正。</w:t>
      </w:r>
    </w:p>
    <w:p w14:paraId="4F930200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2.液流系统:2.1鞘液桶容量:标准4液桶、可选10方形鞘液桶。2.2 自动控制程序:包括系统启动(初始化)、样本混合、反向冲洗、排汽泡、关机(日常清洗)、深度清洗。2.3上样方式:单管式:5mL(12x75 mm)的聚苯乙烯和聚丙乙烯流式管、1.5 mL和 2mLEP 管;2.4上样速度:除常见低、中、高速外，进样速度自定义范围 10-240 bμL/min。</w:t>
      </w:r>
    </w:p>
    <w:p w14:paraId="18FCD870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3.电子系统:3.1信号处理:拥有全数字化系统，107动态显示范围3.2 检测速度:多参数检测时，检测速度可达30000 细胞/秒。3.3 采集信号:所有通道的脉冲面积，高度信号，任一选定通道的脉冲宽度信号。</w:t>
      </w:r>
    </w:p>
    <w:p w14:paraId="73404E1D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4.分析性能:4.1散射光分辨率:蓝色侧向散射光分辨率:300nm;紫光侧向散射光 VSSC 分辨率:80nmPs微球。4.2荧光灵敏度:FITC:≦30等量可溶性荧光素分子(MESF-FITC);PE:10等量可溶性荧光素分子(MESF-PE)。4.3全峰宽变异系数:CV&lt;3%。4.4具备免微球绝对计数功能。</w:t>
      </w:r>
    </w:p>
    <w:p w14:paraId="0BC28117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5.软件功能:全线性增益放大器，可以调节每个通道检测器电压(增益)，以适应不同样品及不同荧光染料的标记。具有3种荧光补偿调节方式:自动全矩阵补偿;手动全矩阵补偿;补偿数据库(随电压增益的变化,实现补偿矩阵自动实时调节);可导入/导出实验间补偿值，在线或脱机均可调节。</w:t>
      </w:r>
    </w:p>
    <w:p w14:paraId="0F9CD97F">
      <w:pPr>
        <w:adjustRightInd w:val="0"/>
        <w:snapToGrid w:val="0"/>
        <w:spacing w:line="560" w:lineRule="exact"/>
        <w:ind w:firstLine="600" w:firstLineChars="200"/>
        <w:rPr>
          <w:rFonts w:hint="eastAsia" w:ascii="宋体" w:hAnsi="宋体" w:cs="宋体"/>
          <w:sz w:val="30"/>
          <w:szCs w:val="30"/>
        </w:rPr>
      </w:pPr>
      <w:r>
        <w:rPr>
          <w:rFonts w:hint="eastAsia" w:ascii="宋体" w:hAnsi="宋体" w:cs="宋体"/>
          <w:sz w:val="30"/>
          <w:szCs w:val="30"/>
        </w:rPr>
        <w:t>6.数据处理工作站:6.1主板:不低于超微 X11EATX 服务器双路主板;6.2CPU:不低于C6230RCPU2.1GHz26核52线程/35.75MBL3 缓存/150W/LGA3647]x1颗;最大支持2颗Xeon 3647 针脚处理器6.3 内存插槽:原厂64G(32Gx2条)2933频率 DDR4 ECC REG];最高支持16条DDR4内存，支持高级ECC内存纠错:6.4硬盘插槽:不低于 4TB SATA 数量不少于3块，机箱最大支持8个3.5/2.5寸SATA/SAS接口硬盘或固态磁盘;6.5显卡:不低于ASPEEDAST2500 主板集成显卡;6.610插:PCI-E3.0X16*2，PCI-E3.0X8*3，VGA*1,USB3.0*5，USB2.0*4;6.7 网络:集成2个RJ45 千兆企业级网口，1个RJ45IPMI控制端口;6.8电源:不低于1000W服务器单电源。</w:t>
      </w:r>
    </w:p>
    <w:p w14:paraId="6D0FDF39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A57A40"/>
    <w:rsid w:val="79A5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2025-03-11T07:53:00Z</dcterms:created>
  <dc:creator>hubin</dc:creator>
  <cp:lastModifiedBy>hubin</cp:lastModifiedBy>
  <dcterms:modified xsi:type="dcterms:W3CDTF">2025-03-11T07:53:10Z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F625E14A1F0D461F9D2F4D43D7837645_11</vt:lpwstr>
  </property>
  <property fmtid="{D5CDD505-2E9C-101B-9397-08002B2CF9AE}" pid="4" name="KSOTemplateDocerSaveRecord">
    <vt:lpwstr>eyJoZGlkIjoiMGRiNTVmMzcxMzdhMDg5OTU0YWQ2MDdhNzZjZmY1NDEifQ==</vt:lpwstr>
  </property>
</Properties>
</file>